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Toc45893402"/>
      <w:bookmarkStart w:id="1" w:name="_Toc36817183"/>
      <w:bookmarkStart w:id="2" w:name="_Toc21127425"/>
      <w:bookmarkStart w:id="3" w:name="_Toc36817184"/>
      <w:bookmarkStart w:id="4" w:name="_Toc29811631"/>
      <w:bookmarkStart w:id="5" w:name="_Toc44712089"/>
      <w:bookmarkStart w:id="6" w:name="_Toc29811632"/>
      <w:bookmarkStart w:id="7" w:name="_Toc37267488"/>
      <w:bookmarkStart w:id="8" w:name="_Toc37260099"/>
      <w:bookmarkStart w:id="9" w:name="_Toc37260100"/>
      <w:bookmarkStart w:id="10" w:name="_Toc37267487"/>
      <w:bookmarkStart w:id="11" w:name="_Toc61179276"/>
      <w:bookmarkStart w:id="12" w:name="_Toc53178580"/>
      <w:bookmarkStart w:id="13" w:name="_Toc74663170"/>
      <w:bookmarkStart w:id="14" w:name="_Toc90422557"/>
      <w:bookmarkStart w:id="15" w:name="_Toc21127426"/>
      <w:bookmarkStart w:id="16" w:name="_Toc67916572"/>
      <w:bookmarkStart w:id="17" w:name="_Toc61178806"/>
      <w:bookmarkStart w:id="18" w:name="_Toc82621710"/>
      <w:bookmarkStart w:id="19" w:name="_Toc53178129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112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R4-2413561</w:t>
      </w:r>
    </w:p>
    <w:p>
      <w:pPr>
        <w:pStyle w:val="130"/>
        <w:outlineLvl w:val="0"/>
        <w:rPr>
          <w:b/>
          <w:sz w:val="24"/>
        </w:rPr>
      </w:pPr>
      <w:r>
        <w:rPr>
          <w:rFonts w:hint="eastAsia" w:eastAsia="宋体" w:cs="Arial"/>
          <w:b/>
          <w:bCs/>
          <w:sz w:val="24"/>
          <w:lang w:val="en-US" w:eastAsia="zh-CN"/>
        </w:rPr>
        <w:t>Maastricht, Netherlands, 19 – 23 August, 2024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38.115-1</w:t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ind w:firstLine="281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b/>
                <w:sz w:val="28"/>
                <w:lang w:val="en-US" w:eastAsia="zh-CN"/>
              </w:rPr>
              <w:t>0044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CR on 38.115-1 for NCR conformance testing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NR_netcon_repeater-Perf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  <w:p>
            <w:pPr>
              <w:pStyle w:val="130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specification is for NCR, not for the IAB. Repeated references for TS 38.101-1 and citation errors in References.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 wording error and remove duplicate references.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specification is for NCR, not for the IAB.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6.18.2 , 6.20.4.2, 7.1.2.2.4, 7.1.3.1.2, 7.1.3.2,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...</w:t>
            </w:r>
            <w:r>
              <w:t xml:space="preserve"> CR ..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...</w:t>
            </w:r>
            <w:r>
              <w:t xml:space="preserve">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firstLine="0" w:firstLineChars="0"/>
              <w:jc w:val="both"/>
              <w:textAlignment w:val="auto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Revised from R4-2412796.</w:t>
            </w:r>
            <w:bookmarkStart w:id="73" w:name="_GoBack"/>
            <w:bookmarkEnd w:id="73"/>
          </w:p>
        </w:tc>
      </w:tr>
    </w:tbl>
    <w:p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CHANGE&gt;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/>
    <w:p>
      <w:pPr>
        <w:pStyle w:val="2"/>
      </w:pPr>
      <w:bookmarkStart w:id="20" w:name="_Toc130560505"/>
      <w:bookmarkStart w:id="21" w:name="_Toc137470148"/>
      <w:bookmarkStart w:id="22" w:name="_Toc145510949"/>
      <w:bookmarkStart w:id="23" w:name="_Toc121756608"/>
      <w:bookmarkStart w:id="24" w:name="_Toc124157928"/>
      <w:bookmarkStart w:id="25" w:name="_Toc120613068"/>
      <w:bookmarkStart w:id="26" w:name="_Toc121820178"/>
      <w:bookmarkStart w:id="27" w:name="_Toc138884541"/>
      <w:bookmarkStart w:id="28" w:name="_Toc155479186"/>
      <w:r>
        <w:t>2</w:t>
      </w:r>
      <w:r>
        <w:tab/>
      </w:r>
      <w:r>
        <w:t>References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r>
        <w:t>The following documents contain provisions which, through reference in this text, constitute provisions of the present document.</w:t>
      </w:r>
    </w:p>
    <w:p>
      <w:pPr>
        <w:pStyle w:val="93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93"/>
      </w:pPr>
      <w:r>
        <w:t>-</w:t>
      </w:r>
      <w:r>
        <w:tab/>
      </w:r>
      <w:r>
        <w:t>For a specific reference, subsequent revisions do not apply.</w:t>
      </w:r>
    </w:p>
    <w:p>
      <w:pPr>
        <w:pStyle w:val="93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89"/>
      </w:pPr>
      <w:r>
        <w:t>[1]</w:t>
      </w:r>
      <w:r>
        <w:tab/>
      </w:r>
      <w:r>
        <w:t>3GPP TR 21.905: "Vocabulary for 3GPP Specifications".</w:t>
      </w:r>
    </w:p>
    <w:p>
      <w:pPr>
        <w:pStyle w:val="89"/>
      </w:pPr>
      <w:r>
        <w:t>[2]</w:t>
      </w:r>
      <w:r>
        <w:tab/>
      </w:r>
      <w:r>
        <w:t>3GPP TS 38.106: "NR</w:t>
      </w:r>
      <w:r>
        <w:rPr>
          <w:lang w:eastAsia="zh-CN"/>
        </w:rPr>
        <w:t>;</w:t>
      </w:r>
      <w:r>
        <w:t xml:space="preserve"> Repeater Radio Transmission and Reception"</w:t>
      </w:r>
    </w:p>
    <w:p>
      <w:pPr>
        <w:pStyle w:val="89"/>
        <w:rPr>
          <w:lang w:eastAsia="zh-CN"/>
        </w:rPr>
      </w:pPr>
      <w:r>
        <w:t>[3]</w:t>
      </w:r>
      <w:r>
        <w:tab/>
      </w:r>
      <w:r>
        <w:t>3GPP TS 38.115-2: "</w:t>
      </w:r>
      <w:r>
        <w:rPr>
          <w:lang w:eastAsia="zh-CN"/>
        </w:rPr>
        <w:t xml:space="preserve">NR; </w:t>
      </w:r>
      <w:r>
        <w:t>Repeater conformance testing</w:t>
      </w:r>
      <w:r>
        <w:rPr>
          <w:lang w:eastAsia="zh-CN"/>
        </w:rPr>
        <w:t xml:space="preserve">, </w:t>
      </w:r>
      <w:r>
        <w:t>Part 2: Radiated conformance testing"</w:t>
      </w:r>
    </w:p>
    <w:p>
      <w:pPr>
        <w:pStyle w:val="89"/>
      </w:pPr>
      <w:r>
        <w:t>[</w:t>
      </w:r>
      <w:r>
        <w:rPr>
          <w:lang w:eastAsia="zh-CN"/>
        </w:rPr>
        <w:t>4</w:t>
      </w:r>
      <w:r>
        <w:t>]</w:t>
      </w:r>
      <w:r>
        <w:tab/>
      </w:r>
      <w:r>
        <w:t>ITU-R Recommendation SM.329: "Unwanted emissions in the spurious domain"</w:t>
      </w:r>
    </w:p>
    <w:p>
      <w:pPr>
        <w:pStyle w:val="89"/>
      </w:pPr>
      <w:r>
        <w:t>[</w:t>
      </w:r>
      <w:r>
        <w:rPr>
          <w:lang w:eastAsia="zh-CN"/>
        </w:rPr>
        <w:t>5</w:t>
      </w:r>
      <w:r>
        <w:t>]</w:t>
      </w:r>
      <w:r>
        <w:tab/>
      </w:r>
      <w:r>
        <w:t>3GPP TS 38.104: "NR</w:t>
      </w:r>
      <w:r>
        <w:rPr>
          <w:lang w:eastAsia="zh-CN"/>
        </w:rPr>
        <w:t>;</w:t>
      </w:r>
      <w:r>
        <w:t xml:space="preserve"> Base Station (BS) radio transmission and reception"</w:t>
      </w:r>
    </w:p>
    <w:p>
      <w:pPr>
        <w:pStyle w:val="89"/>
      </w:pPr>
      <w:r>
        <w:t>[</w:t>
      </w:r>
      <w:r>
        <w:rPr>
          <w:lang w:eastAsia="zh-CN"/>
        </w:rPr>
        <w:t>6</w:t>
      </w:r>
      <w:r>
        <w:t>]</w:t>
      </w:r>
      <w:r>
        <w:tab/>
      </w:r>
      <w:r>
        <w:t>3GPP T</w:t>
      </w:r>
      <w:r>
        <w:rPr>
          <w:lang w:eastAsia="zh-CN"/>
        </w:rPr>
        <w:t>S</w:t>
      </w:r>
      <w:r>
        <w:t> 36.104: "Evolved Universal Terrestrial Radio Access (E-UTRA); Base Station (BS) radio transmission and reception"</w:t>
      </w:r>
    </w:p>
    <w:p>
      <w:pPr>
        <w:pStyle w:val="89"/>
      </w:pPr>
      <w:r>
        <w:t>[</w:t>
      </w:r>
      <w:r>
        <w:rPr>
          <w:lang w:eastAsia="zh-CN"/>
        </w:rPr>
        <w:t>7</w:t>
      </w:r>
      <w:r>
        <w:t>]</w:t>
      </w:r>
      <w:r>
        <w:tab/>
      </w:r>
      <w:r>
        <w:t xml:space="preserve">3GPP TS 38.141-1: </w:t>
      </w:r>
      <w:r>
        <w:rPr>
          <w:rFonts w:cs="v5.0.0"/>
          <w:snapToGrid w:val="0"/>
        </w:rPr>
        <w:t>"</w:t>
      </w:r>
      <w:r>
        <w:t>NR</w:t>
      </w:r>
      <w:r>
        <w:rPr>
          <w:lang w:eastAsia="zh-CN"/>
        </w:rPr>
        <w:t>;</w:t>
      </w:r>
      <w:r>
        <w:t xml:space="preserve"> Base Station (BS) conformance testing, Part 1: Conducted conformance testing</w:t>
      </w:r>
      <w:r>
        <w:rPr>
          <w:rFonts w:cs="v5.0.0"/>
          <w:snapToGrid w:val="0"/>
        </w:rPr>
        <w:t>"</w:t>
      </w:r>
    </w:p>
    <w:p>
      <w:pPr>
        <w:pStyle w:val="89"/>
      </w:pPr>
      <w:r>
        <w:t>[</w:t>
      </w:r>
      <w:r>
        <w:rPr>
          <w:lang w:eastAsia="zh-CN"/>
        </w:rPr>
        <w:t>8</w:t>
      </w:r>
      <w:r>
        <w:t>]</w:t>
      </w:r>
      <w:r>
        <w:tab/>
      </w:r>
      <w:r>
        <w:t>3GPP TS 38.211: "NR; Physical channels and modulation"</w:t>
      </w:r>
    </w:p>
    <w:p>
      <w:pPr>
        <w:pStyle w:val="89"/>
      </w:pPr>
      <w:r>
        <w:t>[</w:t>
      </w:r>
      <w:r>
        <w:rPr>
          <w:lang w:eastAsia="zh-CN"/>
        </w:rPr>
        <w:t>9</w:t>
      </w:r>
      <w:r>
        <w:t>]</w:t>
      </w:r>
      <w:r>
        <w:tab/>
      </w:r>
      <w:r>
        <w:t>3GPP T</w:t>
      </w:r>
      <w:r>
        <w:rPr>
          <w:lang w:eastAsia="zh-CN"/>
        </w:rPr>
        <w:t>S</w:t>
      </w:r>
      <w:r>
        <w:t> 38.101-1: "NR; User Equipment (UE) radio transmission and reception; Part 1: Range 1 Standalone"</w:t>
      </w:r>
    </w:p>
    <w:p>
      <w:pPr>
        <w:pStyle w:val="89"/>
        <w:rPr>
          <w:lang w:eastAsia="zh-CN"/>
        </w:rPr>
      </w:pPr>
      <w:r>
        <w:t>[1</w:t>
      </w:r>
      <w:r>
        <w:rPr>
          <w:lang w:eastAsia="zh-CN"/>
        </w:rPr>
        <w:t>0</w:t>
      </w:r>
      <w:r>
        <w:t>]</w:t>
      </w:r>
      <w:r>
        <w:tab/>
      </w:r>
      <w:r>
        <w:t>3GPP T</w:t>
      </w:r>
      <w:r>
        <w:rPr>
          <w:lang w:eastAsia="zh-CN"/>
        </w:rPr>
        <w:t>S</w:t>
      </w:r>
      <w:r>
        <w:t> 38.331: "NR; Radio Resource Control (RRC) protocol specification"</w:t>
      </w:r>
    </w:p>
    <w:p>
      <w:pPr>
        <w:pStyle w:val="89"/>
        <w:rPr>
          <w:rFonts w:cs="v5.0.0"/>
          <w:snapToGrid w:val="0"/>
          <w:lang w:eastAsia="zh-CN"/>
        </w:rPr>
      </w:pPr>
      <w:r>
        <w:t>[</w:t>
      </w:r>
      <w:r>
        <w:rPr>
          <w:rFonts w:hint="eastAsia"/>
          <w:lang w:eastAsia="zh-CN"/>
        </w:rPr>
        <w:t>11</w:t>
      </w:r>
      <w:r>
        <w:t>]</w:t>
      </w:r>
      <w:r>
        <w:tab/>
      </w:r>
      <w:r>
        <w:rPr>
          <w:rFonts w:cs="v5.0.0"/>
          <w:snapToGrid w:val="0"/>
        </w:rPr>
        <w:t>ITU-R Recommendation M.1545: “Measurement uncertainty as it applies to test limits for the terrestrial component of International Mobile Telecommunications – 2000”</w:t>
      </w:r>
    </w:p>
    <w:p>
      <w:pPr>
        <w:pStyle w:val="89"/>
        <w:rPr>
          <w:lang w:eastAsia="zh-CN"/>
        </w:rPr>
      </w:pPr>
      <w:r>
        <w:t>[</w:t>
      </w:r>
      <w:r>
        <w:rPr>
          <w:rFonts w:hint="eastAsia"/>
          <w:lang w:eastAsia="zh-CN"/>
        </w:rPr>
        <w:t>12</w:t>
      </w:r>
      <w:r>
        <w:t>]</w:t>
      </w:r>
      <w:r>
        <w:tab/>
      </w:r>
      <w:r>
        <w:t>ITU-T Recommendation O.150, "Equipment for the measurement of digital and analogue/digital parameters"</w:t>
      </w:r>
    </w:p>
    <w:p>
      <w:pPr>
        <w:pStyle w:val="89"/>
        <w:rPr>
          <w:lang w:eastAsia="zh-CN"/>
        </w:rPr>
      </w:pPr>
      <w:r>
        <w:t>[13]</w:t>
      </w:r>
      <w:r>
        <w:tab/>
      </w:r>
      <w:r>
        <w:t>Federal Communications Commission: "Title 47 of the Code of Federal Regulations (CFR) "</w:t>
      </w:r>
    </w:p>
    <w:p>
      <w:pPr>
        <w:pStyle w:val="89"/>
        <w:rPr>
          <w:lang w:eastAsia="zh-CN"/>
        </w:rPr>
      </w:pPr>
      <w:r>
        <w:t>[14]</w:t>
      </w:r>
      <w:r>
        <w:tab/>
      </w:r>
      <w:r>
        <w:t>ECC/DEC/(17)06: "The harmonised use of the frequency bands 1427-1452 MHz and 1492-1518 MHz for Mobile/Fixed Communications Networks Supplemental Downlink (MFCN SDL)"</w:t>
      </w:r>
    </w:p>
    <w:p>
      <w:pPr>
        <w:pStyle w:val="89"/>
        <w:rPr>
          <w:rFonts w:cs="v4.2.0"/>
          <w:lang w:val="sv-SE" w:eastAsia="zh-CN"/>
        </w:rPr>
      </w:pPr>
      <w:r>
        <w:rPr>
          <w:lang w:val="sv-FI"/>
        </w:rPr>
        <w:t>[15]</w:t>
      </w:r>
      <w:r>
        <w:rPr>
          <w:lang w:val="sv-FI"/>
        </w:rPr>
        <w:tab/>
      </w:r>
      <w:r>
        <w:rPr>
          <w:lang w:val="sv-SE"/>
        </w:rPr>
        <w:t xml:space="preserve">3GPP TR 25.942: </w:t>
      </w:r>
      <w:r>
        <w:rPr>
          <w:rFonts w:cs="v4.2.0"/>
          <w:lang w:val="sv-SE"/>
        </w:rPr>
        <w:t>"RF system scenarios"</w:t>
      </w:r>
    </w:p>
    <w:p>
      <w:pPr>
        <w:pStyle w:val="89"/>
      </w:pPr>
      <w:r>
        <w:t>[</w:t>
      </w:r>
      <w:r>
        <w:rPr>
          <w:rFonts w:hint="eastAsia"/>
          <w:lang w:eastAsia="zh-CN"/>
        </w:rPr>
        <w:t>1</w:t>
      </w:r>
      <w:r>
        <w:t>6]</w:t>
      </w:r>
      <w:r>
        <w:tab/>
      </w:r>
      <w:r>
        <w:t>IEC 60 721-3-3: "Classification of environmental conditions - Part 3-3: Classification of groups of environmental parameters and their severities - Stationary use at weather protected locations"</w:t>
      </w:r>
    </w:p>
    <w:p>
      <w:pPr>
        <w:pStyle w:val="89"/>
      </w:pPr>
      <w:r>
        <w:t>[</w:t>
      </w:r>
      <w:r>
        <w:rPr>
          <w:rFonts w:hint="eastAsia"/>
          <w:lang w:eastAsia="zh-CN"/>
        </w:rPr>
        <w:t>1</w:t>
      </w:r>
      <w:r>
        <w:t>7]</w:t>
      </w:r>
      <w:r>
        <w:tab/>
      </w:r>
      <w:r>
        <w:t>IEC 60 721-3-4: "Classification of environmental conditions - Part 3: Classification of groups of environmental parameters and their severities - Clause 4: Stationary use at non-weather protected locations"</w:t>
      </w:r>
    </w:p>
    <w:p>
      <w:pPr>
        <w:pStyle w:val="89"/>
      </w:pPr>
      <w:r>
        <w:t>[</w:t>
      </w:r>
      <w:r>
        <w:rPr>
          <w:rFonts w:hint="eastAsia"/>
          <w:lang w:eastAsia="zh-CN"/>
        </w:rPr>
        <w:t>1</w:t>
      </w:r>
      <w:r>
        <w:t>8]</w:t>
      </w:r>
      <w:r>
        <w:tab/>
      </w:r>
      <w:r>
        <w:t>IEC 60 721: "Classification of environmental conditions"</w:t>
      </w:r>
    </w:p>
    <w:p>
      <w:pPr>
        <w:pStyle w:val="89"/>
      </w:pPr>
      <w:r>
        <w:t>[</w:t>
      </w:r>
      <w:r>
        <w:rPr>
          <w:rFonts w:hint="eastAsia"/>
          <w:lang w:eastAsia="zh-CN"/>
        </w:rPr>
        <w:t>1</w:t>
      </w:r>
      <w:r>
        <w:t>9]</w:t>
      </w:r>
      <w:r>
        <w:tab/>
      </w:r>
      <w:r>
        <w:t>IEC 60 068-2-1</w:t>
      </w:r>
      <w:r>
        <w:rPr>
          <w:rFonts w:cs="v4.2.0"/>
        </w:rPr>
        <w:t xml:space="preserve"> (2007): "Environmental testing - Part 2: Tests. Tests A: Cold"</w:t>
      </w:r>
    </w:p>
    <w:p>
      <w:pPr>
        <w:pStyle w:val="89"/>
      </w:pPr>
      <w:r>
        <w:t>[</w:t>
      </w:r>
      <w:r>
        <w:rPr>
          <w:rFonts w:hint="eastAsia"/>
          <w:lang w:eastAsia="zh-CN"/>
        </w:rPr>
        <w:t>2</w:t>
      </w:r>
      <w:r>
        <w:t>0]</w:t>
      </w:r>
      <w:r>
        <w:tab/>
      </w:r>
      <w:r>
        <w:t>IEC 60 068-2-2:</w:t>
      </w:r>
      <w:r>
        <w:rPr>
          <w:rFonts w:cs="v4.2.0"/>
        </w:rPr>
        <w:t xml:space="preserve"> (2007): "Environmental testing - Part 2: Tests. Tests B: Dry heat"</w:t>
      </w:r>
    </w:p>
    <w:p>
      <w:pPr>
        <w:keepLines/>
        <w:ind w:left="1702" w:hanging="1418"/>
        <w:rPr>
          <w:rFonts w:cs="v4.2.0"/>
        </w:rPr>
      </w:pPr>
      <w:r>
        <w:t>[</w:t>
      </w:r>
      <w:r>
        <w:rPr>
          <w:rFonts w:hint="eastAsia"/>
          <w:lang w:eastAsia="zh-CN"/>
        </w:rPr>
        <w:t>2</w:t>
      </w:r>
      <w:r>
        <w:t>1]</w:t>
      </w:r>
      <w:r>
        <w:tab/>
      </w:r>
      <w:r>
        <w:t xml:space="preserve">IEC 60 068-2-6: </w:t>
      </w:r>
      <w:r>
        <w:rPr>
          <w:rFonts w:cs="v4.2.0"/>
        </w:rPr>
        <w:t xml:space="preserve">(2007): "Environmental testing - Part 2: Tests - Test Fc: Vibration (sinusoidal)" </w:t>
      </w:r>
    </w:p>
    <w:p>
      <w:pPr>
        <w:keepLines/>
        <w:ind w:left="1702" w:hanging="1418"/>
        <w:rPr>
          <w:rFonts w:cs="v4.2.0"/>
          <w:lang w:eastAsia="zh-CN"/>
        </w:rPr>
      </w:pPr>
      <w:r>
        <w:rPr>
          <w:rFonts w:hint="eastAsia" w:cs="v4.2.0"/>
          <w:lang w:eastAsia="zh-CN"/>
        </w:rPr>
        <w:t>[</w:t>
      </w:r>
      <w:r>
        <w:rPr>
          <w:rFonts w:cs="v4.2.0"/>
          <w:lang w:eastAsia="zh-CN"/>
        </w:rPr>
        <w:t>22]</w:t>
      </w:r>
      <w:r>
        <w:rPr>
          <w:rFonts w:cs="v4.2.0"/>
          <w:lang w:eastAsia="zh-CN"/>
        </w:rPr>
        <w:tab/>
      </w:r>
      <w:ins w:id="0" w:author="ZTE-KUN" w:date="2024-08-19T20:48:26Z">
        <w:r>
          <w:rPr>
            <w:rFonts w:hint="eastAsia" w:cs="v4.2.0"/>
            <w:lang w:val="en-US" w:eastAsia="zh-CN"/>
          </w:rPr>
          <w:t>V</w:t>
        </w:r>
      </w:ins>
      <w:ins w:id="1" w:author="ZTE-KUN" w:date="2024-08-19T20:48:27Z">
        <w:r>
          <w:rPr>
            <w:rFonts w:hint="eastAsia" w:cs="v4.2.0"/>
            <w:lang w:val="en-US" w:eastAsia="zh-CN"/>
          </w:rPr>
          <w:t>oid</w:t>
        </w:r>
      </w:ins>
      <w:del w:id="2" w:author="ZTE-KUN" w:date="2024-08-19T20:48:25Z">
        <w:r>
          <w:rPr>
            <w:rFonts w:cs="v4.2.0"/>
            <w:lang w:eastAsia="zh-CN"/>
          </w:rPr>
          <w:delText>3GPP TS 38.101-1: "NR; User Equipment (UE) radio transmission and reception; Part 1: Range 1 Standalone"</w:delText>
        </w:r>
      </w:del>
    </w:p>
    <w:p>
      <w:pPr>
        <w:keepLines/>
        <w:ind w:left="1702" w:hanging="1418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23]</w:t>
      </w:r>
      <w:r>
        <w:rPr>
          <w:lang w:eastAsia="zh-CN"/>
        </w:rPr>
        <w:tab/>
      </w:r>
      <w:r>
        <w:rPr>
          <w:lang w:eastAsia="zh-CN"/>
        </w:rPr>
        <w:t>3GPP TS 38.214: "NR; Physical layer procedures for data"</w:t>
      </w:r>
    </w:p>
    <w:p>
      <w:pPr>
        <w:keepLines/>
        <w:ind w:left="1702" w:hanging="1418"/>
        <w:rPr>
          <w:lang w:eastAsia="zh-CN"/>
        </w:rPr>
      </w:pPr>
      <w:r>
        <w:t>[</w:t>
      </w:r>
      <w:r>
        <w:rPr>
          <w:rFonts w:hint="eastAsia"/>
          <w:lang w:eastAsia="zh-CN"/>
        </w:rPr>
        <w:t>2</w:t>
      </w:r>
      <w:r>
        <w:t>4]</w:t>
      </w:r>
      <w:r>
        <w:tab/>
      </w:r>
      <w:r>
        <w:rPr>
          <w:lang w:val="en-US" w:eastAsia="zh-CN"/>
        </w:rPr>
        <w:t>3GPP TR 38.901: "Study on channel model for frequencies from 0.5 to 100 GHz"</w:t>
      </w:r>
    </w:p>
    <w:p>
      <w:pPr>
        <w:rPr>
          <w:ins w:id="3" w:author="ZTE-Kun Yao" w:date="2024-08-09T16:33:55Z"/>
        </w:rPr>
      </w:pPr>
    </w:p>
    <w:p>
      <w:pPr>
        <w:pStyle w:val="5"/>
        <w:tabs>
          <w:tab w:val="left" w:pos="2000"/>
        </w:tabs>
        <w:rPr>
          <w:ins w:id="4" w:author="ZTE-Kun Yao" w:date="2024-08-09T16:38:53Z"/>
          <w:rFonts w:cs="Arial"/>
          <w:color w:val="FF0000"/>
          <w:highlight w:val="none"/>
        </w:rPr>
      </w:pPr>
      <w:ins w:id="5" w:author="ZTE-Kun Yao" w:date="2024-08-09T16:38:53Z">
        <w:r>
          <w:rPr>
            <w:rFonts w:cs="Arial"/>
            <w:color w:val="FF0000"/>
            <w:highlight w:val="none"/>
          </w:rPr>
          <w:t xml:space="preserve">&lt; </w:t>
        </w:r>
      </w:ins>
      <w:ins w:id="6" w:author="ZTE-Kun Yao" w:date="2024-08-09T16:38:53Z">
        <w:r>
          <w:rPr>
            <w:rFonts w:hint="eastAsia" w:eastAsia="宋体" w:cs="Arial"/>
            <w:color w:val="FF0000"/>
            <w:highlight w:val="none"/>
            <w:lang w:val="en-US" w:eastAsia="zh-CN"/>
          </w:rPr>
          <w:t>NEX</w:t>
        </w:r>
      </w:ins>
      <w:ins w:id="7" w:author="ZTE-Kun Yao" w:date="2024-08-09T16:38:53Z">
        <w:r>
          <w:rPr>
            <w:rFonts w:cs="Arial"/>
            <w:color w:val="FF0000"/>
            <w:highlight w:val="none"/>
          </w:rPr>
          <w:t>T OF CHANGE&gt;</w:t>
        </w:r>
      </w:ins>
    </w:p>
    <w:p>
      <w:pPr>
        <w:rPr>
          <w:ins w:id="8" w:author="ZTE-Kun Yao" w:date="2024-08-09T16:33:56Z"/>
        </w:rPr>
      </w:pPr>
    </w:p>
    <w:p>
      <w:pPr>
        <w:pStyle w:val="4"/>
        <w:rPr>
          <w:rFonts w:eastAsia="宋体"/>
          <w:lang w:eastAsia="en-US"/>
        </w:rPr>
      </w:pPr>
      <w:r>
        <w:rPr>
          <w:rFonts w:eastAsia="宋体"/>
          <w:lang w:eastAsia="en-US"/>
        </w:rPr>
        <w:t>6.</w:t>
      </w:r>
      <w:r>
        <w:rPr>
          <w:rFonts w:hint="eastAsia" w:eastAsia="宋体"/>
          <w:lang w:val="en-US" w:eastAsia="zh-CN"/>
        </w:rPr>
        <w:t>18</w:t>
      </w:r>
      <w:r>
        <w:rPr>
          <w:rFonts w:eastAsia="宋体"/>
          <w:lang w:eastAsia="en-US"/>
        </w:rPr>
        <w:t>.</w:t>
      </w:r>
      <w:r>
        <w:rPr>
          <w:rFonts w:hint="eastAsia" w:eastAsia="宋体"/>
          <w:lang w:val="en-US" w:eastAsia="zh-CN"/>
        </w:rPr>
        <w:t>2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Minimum requirement</w:t>
      </w:r>
    </w:p>
    <w:p>
      <w:pPr>
        <w:tabs>
          <w:tab w:val="left" w:pos="4253"/>
        </w:tabs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 xml:space="preserve">The minimum requirement for MT connectors of </w:t>
      </w:r>
      <w:r>
        <w:rPr>
          <w:rFonts w:hint="eastAsia" w:eastAsia="宋体"/>
          <w:lang w:val="en-US" w:eastAsia="zh-CN"/>
        </w:rPr>
        <w:t xml:space="preserve"> local area </w:t>
      </w:r>
      <w:r>
        <w:rPr>
          <w:rFonts w:eastAsia="宋体"/>
          <w:i/>
          <w:lang w:eastAsia="en-US"/>
        </w:rPr>
        <w:t>NCR type 1-C</w:t>
      </w:r>
      <w:r>
        <w:rPr>
          <w:rFonts w:eastAsia="宋体"/>
          <w:lang w:eastAsia="en-US"/>
        </w:rPr>
        <w:t xml:space="preserve"> and </w:t>
      </w:r>
      <w:r>
        <w:rPr>
          <w:rFonts w:eastAsia="宋体"/>
          <w:i/>
          <w:lang w:eastAsia="en-US"/>
        </w:rPr>
        <w:t>NCR type 1-H</w:t>
      </w:r>
      <w:r>
        <w:rPr>
          <w:rFonts w:eastAsia="宋体"/>
          <w:lang w:eastAsia="en-US"/>
        </w:rPr>
        <w:t xml:space="preserve"> is defined in </w:t>
      </w:r>
      <w:r>
        <w:rPr>
          <w:rFonts w:hint="eastAsia" w:eastAsia="宋体"/>
          <w:lang w:val="en-US" w:eastAsia="zh-CN"/>
        </w:rPr>
        <w:t xml:space="preserve">TS 38.101-1 </w:t>
      </w:r>
      <w:r>
        <w:rPr>
          <w:rFonts w:eastAsia="宋体"/>
          <w:highlight w:val="none"/>
          <w:lang w:val="en-US" w:eastAsia="zh-CN"/>
          <w:rPrChange w:id="9" w:author="ZTE-Kun Yao" w:date="2024-08-09T16:41:06Z">
            <w:rPr>
              <w:rFonts w:eastAsia="宋体"/>
              <w:highlight w:val="yellow"/>
              <w:lang w:val="en-US" w:eastAsia="zh-CN"/>
            </w:rPr>
          </w:rPrChange>
        </w:rPr>
        <w:t>[</w:t>
      </w:r>
      <w:ins w:id="10" w:author="ZTE-Kun Yao" w:date="2024-08-09T16:34:19Z">
        <w:r>
          <w:rPr>
            <w:rFonts w:hint="eastAsia" w:eastAsia="宋体"/>
            <w:highlight w:val="none"/>
            <w:lang w:val="en-US" w:eastAsia="zh-CN"/>
            <w:rPrChange w:id="11" w:author="ZTE-Kun Yao" w:date="2024-08-09T16:41:06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9</w:t>
        </w:r>
      </w:ins>
      <w:del w:id="12" w:author="ZTE-Kun Yao" w:date="2024-08-09T16:34:05Z">
        <w:r>
          <w:rPr>
            <w:rFonts w:eastAsia="宋体"/>
            <w:highlight w:val="none"/>
            <w:lang w:val="en-US" w:eastAsia="zh-CN"/>
            <w:rPrChange w:id="13" w:author="ZTE-Kun Yao" w:date="2024-08-09T16:41:06Z">
              <w:rPr>
                <w:rFonts w:eastAsia="宋体"/>
                <w:highlight w:val="yellow"/>
                <w:lang w:val="en-US" w:eastAsia="zh-CN"/>
              </w:rPr>
            </w:rPrChange>
          </w:rPr>
          <w:delText>x</w:delText>
        </w:r>
      </w:del>
      <w:r>
        <w:rPr>
          <w:rFonts w:eastAsia="宋体"/>
          <w:highlight w:val="none"/>
          <w:lang w:val="en-US" w:eastAsia="zh-CN"/>
          <w:rPrChange w:id="14" w:author="ZTE-Kun Yao" w:date="2024-08-09T16:41:06Z">
            <w:rPr>
              <w:rFonts w:eastAsia="宋体"/>
              <w:highlight w:val="yellow"/>
              <w:lang w:val="en-US" w:eastAsia="zh-CN"/>
            </w:rPr>
          </w:rPrChange>
        </w:rPr>
        <w:t>],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clause </w:t>
      </w:r>
      <w:r>
        <w:rPr>
          <w:rFonts w:eastAsia="宋体"/>
          <w:lang w:val="en-US" w:eastAsia="zh-CN"/>
        </w:rPr>
        <w:t>7.7</w:t>
      </w:r>
      <w:r>
        <w:rPr>
          <w:rFonts w:hint="eastAsia" w:eastAsia="宋体"/>
          <w:lang w:val="en-US" w:eastAsia="zh-CN"/>
        </w:rPr>
        <w:t>.</w:t>
      </w:r>
    </w:p>
    <w:p>
      <w:pPr>
        <w:rPr>
          <w:ins w:id="15" w:author="ZTE-Kun Yao" w:date="2024-08-09T16:33:56Z"/>
        </w:rPr>
      </w:pPr>
    </w:p>
    <w:p>
      <w:pPr>
        <w:pStyle w:val="5"/>
        <w:tabs>
          <w:tab w:val="left" w:pos="2000"/>
        </w:tabs>
        <w:rPr>
          <w:ins w:id="16" w:author="ZTE-Kun Yao" w:date="2024-08-09T16:38:57Z"/>
          <w:rFonts w:cs="Arial"/>
          <w:color w:val="FF0000"/>
          <w:highlight w:val="none"/>
        </w:rPr>
      </w:pPr>
      <w:ins w:id="17" w:author="ZTE-Kun Yao" w:date="2024-08-09T16:38:57Z">
        <w:r>
          <w:rPr>
            <w:rFonts w:cs="Arial"/>
            <w:color w:val="FF0000"/>
            <w:highlight w:val="none"/>
          </w:rPr>
          <w:t xml:space="preserve">&lt; </w:t>
        </w:r>
      </w:ins>
      <w:ins w:id="18" w:author="ZTE-Kun Yao" w:date="2024-08-09T16:38:57Z">
        <w:r>
          <w:rPr>
            <w:rFonts w:hint="eastAsia" w:eastAsia="宋体" w:cs="Arial"/>
            <w:color w:val="FF0000"/>
            <w:highlight w:val="none"/>
            <w:lang w:val="en-US" w:eastAsia="zh-CN"/>
          </w:rPr>
          <w:t>NEX</w:t>
        </w:r>
      </w:ins>
      <w:ins w:id="19" w:author="ZTE-Kun Yao" w:date="2024-08-09T16:38:57Z">
        <w:r>
          <w:rPr>
            <w:rFonts w:cs="Arial"/>
            <w:color w:val="FF0000"/>
            <w:highlight w:val="none"/>
          </w:rPr>
          <w:t>T OF CHANGE&gt;</w:t>
        </w:r>
      </w:ins>
    </w:p>
    <w:p/>
    <w:p>
      <w:pPr>
        <w:pStyle w:val="5"/>
        <w:rPr>
          <w:rFonts w:eastAsia="Malgun Gothic"/>
          <w:lang w:eastAsia="en-US"/>
        </w:rPr>
      </w:pPr>
      <w:bookmarkStart w:id="29" w:name="_Toc82437504"/>
      <w:bookmarkStart w:id="30" w:name="_Toc75260183"/>
      <w:bookmarkStart w:id="31" w:name="_Toc98753888"/>
      <w:bookmarkStart w:id="32" w:name="_Toc114150919"/>
      <w:bookmarkStart w:id="33" w:name="_Toc106180874"/>
      <w:bookmarkStart w:id="34" w:name="_Toc73963006"/>
      <w:bookmarkStart w:id="35" w:name="_Toc76541735"/>
      <w:bookmarkStart w:id="36" w:name="_Toc89944870"/>
      <w:bookmarkStart w:id="37" w:name="_Toc75276236"/>
      <w:bookmarkStart w:id="38" w:name="_Toc75275725"/>
      <w:r>
        <w:rPr>
          <w:rFonts w:hint="eastAsia" w:eastAsia="宋体"/>
          <w:lang w:val="en-US" w:eastAsia="zh-CN"/>
        </w:rPr>
        <w:t>6</w:t>
      </w:r>
      <w:r>
        <w:rPr>
          <w:rFonts w:eastAsia="Malgun Gothic"/>
          <w:lang w:eastAsia="en-US"/>
        </w:rPr>
        <w:t>.</w:t>
      </w:r>
      <w:r>
        <w:rPr>
          <w:rFonts w:hint="eastAsia" w:eastAsia="宋体"/>
          <w:lang w:val="en-US" w:eastAsia="zh-CN"/>
        </w:rPr>
        <w:t>20</w:t>
      </w:r>
      <w:r>
        <w:rPr>
          <w:rFonts w:eastAsia="Malgun Gothic"/>
          <w:lang w:eastAsia="en-US"/>
        </w:rPr>
        <w:t>.4.2</w:t>
      </w:r>
      <w:r>
        <w:rPr>
          <w:rFonts w:eastAsia="Malgun Gothic"/>
          <w:lang w:eastAsia="en-US"/>
        </w:rPr>
        <w:tab/>
      </w:r>
      <w:r>
        <w:rPr>
          <w:rFonts w:eastAsia="Malgun Gothic"/>
          <w:lang w:eastAsia="en-US"/>
        </w:rPr>
        <w:t>Procedure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>
      <w:pPr>
        <w:tabs>
          <w:tab w:val="left" w:pos="4253"/>
        </w:tabs>
        <w:overflowPunct/>
        <w:autoSpaceDE/>
        <w:autoSpaceDN/>
        <w:adjustRightInd/>
        <w:textAlignment w:val="auto"/>
        <w:rPr>
          <w:rFonts w:eastAsia="Malgun Gothic"/>
          <w:lang w:eastAsia="en-US"/>
        </w:rPr>
      </w:pPr>
      <w:r>
        <w:rPr>
          <w:rFonts w:eastAsia="Malgun Gothic"/>
          <w:lang w:eastAsia="en-US"/>
        </w:rPr>
        <w:t>The minimum requirement is applied to all connectors under test,</w:t>
      </w:r>
    </w:p>
    <w:p>
      <w:pPr>
        <w:tabs>
          <w:tab w:val="left" w:pos="4253"/>
        </w:tabs>
        <w:overflowPunct/>
        <w:autoSpaceDE/>
        <w:autoSpaceDN/>
        <w:adjustRightInd/>
        <w:textAlignment w:val="auto"/>
        <w:rPr>
          <w:rFonts w:eastAsia="Malgun Gothic"/>
          <w:lang w:eastAsia="en-US"/>
        </w:rPr>
      </w:pPr>
      <w:r>
        <w:rPr>
          <w:rFonts w:eastAsia="Malgun Gothic"/>
          <w:lang w:eastAsia="en-US"/>
        </w:rPr>
        <w:t xml:space="preserve">For </w:t>
      </w:r>
      <w:ins w:id="20" w:author="ZTE-Kun Yao" w:date="2024-08-09T16:12:36Z">
        <w:r>
          <w:rPr>
            <w:rFonts w:hint="eastAsia" w:eastAsia="宋体"/>
            <w:i/>
            <w:iCs/>
            <w:lang w:val="en-US" w:eastAsia="zh-CN"/>
            <w:rPrChange w:id="21" w:author="ZTE-Kun Yao" w:date="2024-08-09T16:12:42Z">
              <w:rPr>
                <w:rFonts w:hint="eastAsia" w:eastAsia="宋体"/>
                <w:lang w:val="en-US" w:eastAsia="zh-CN"/>
              </w:rPr>
            </w:rPrChange>
          </w:rPr>
          <w:t>NCR</w:t>
        </w:r>
      </w:ins>
      <w:del w:id="22" w:author="ZTE-Kun Yao" w:date="2024-08-09T16:12:32Z">
        <w:r>
          <w:rPr>
            <w:rFonts w:eastAsia="Malgun Gothic"/>
            <w:i/>
            <w:lang w:eastAsia="en-US"/>
          </w:rPr>
          <w:delText>IAB</w:delText>
        </w:r>
      </w:del>
      <w:r>
        <w:rPr>
          <w:rFonts w:eastAsia="Malgun Gothic"/>
          <w:i/>
          <w:lang w:eastAsia="en-US"/>
        </w:rPr>
        <w:t xml:space="preserve"> type 1-H</w:t>
      </w:r>
      <w:r>
        <w:rPr>
          <w:rFonts w:eastAsia="Malgun Gothic"/>
          <w:lang w:eastAsia="en-US"/>
        </w:rPr>
        <w:t xml:space="preserve"> where there may be multiple </w:t>
      </w:r>
      <w:r>
        <w:rPr>
          <w:rFonts w:eastAsia="Malgun Gothic"/>
          <w:i/>
          <w:lang w:eastAsia="en-US"/>
        </w:rPr>
        <w:t>TAB connectors</w:t>
      </w:r>
      <w:r>
        <w:rPr>
          <w:rFonts w:eastAsia="Malgun Gothic"/>
          <w:lang w:eastAsia="en-US"/>
        </w:rPr>
        <w:t xml:space="preserve"> they may be tested one at a time or multiple </w:t>
      </w:r>
      <w:r>
        <w:rPr>
          <w:rFonts w:eastAsia="Malgun Gothic"/>
          <w:i/>
          <w:lang w:eastAsia="en-US"/>
        </w:rPr>
        <w:t>TAB connectors</w:t>
      </w:r>
      <w:r>
        <w:rPr>
          <w:rFonts w:eastAsia="Malgun Gothic"/>
          <w:lang w:eastAsia="en-US"/>
        </w:rPr>
        <w:t xml:space="preserve"> may be tested in parallel. Whichever method is used the procedure is repeated until all </w:t>
      </w:r>
      <w:r>
        <w:rPr>
          <w:rFonts w:eastAsia="Malgun Gothic"/>
          <w:i/>
          <w:lang w:eastAsia="en-US"/>
        </w:rPr>
        <w:t>TAB connectors</w:t>
      </w:r>
      <w:r>
        <w:rPr>
          <w:rFonts w:eastAsia="Malgun Gothic"/>
          <w:lang w:eastAsia="en-US"/>
        </w:rPr>
        <w:t xml:space="preserve"> necessary to demonstrate conformance have been tested.</w:t>
      </w:r>
    </w:p>
    <w:p>
      <w:pPr>
        <w:pStyle w:val="93"/>
        <w:rPr>
          <w:rFonts w:eastAsia="Malgun Gothic"/>
          <w:lang w:eastAsia="en-US"/>
        </w:rPr>
      </w:pPr>
      <w:r>
        <w:rPr>
          <w:rFonts w:eastAsia="Malgun Gothic"/>
          <w:lang w:eastAsia="en-US"/>
        </w:rPr>
        <w:t>1)</w:t>
      </w:r>
      <w:r>
        <w:rPr>
          <w:rFonts w:eastAsia="Malgun Gothic"/>
          <w:lang w:eastAsia="en-US"/>
        </w:rPr>
        <w:tab/>
      </w:r>
      <w:r>
        <w:rPr>
          <w:rFonts w:eastAsia="Malgun Gothic"/>
          <w:lang w:eastAsia="en-US"/>
        </w:rPr>
        <w:t xml:space="preserve">Connect the connector under test to measurement equipment . </w:t>
      </w:r>
    </w:p>
    <w:p>
      <w:pPr>
        <w:pStyle w:val="93"/>
        <w:rPr>
          <w:rFonts w:eastAsia="Malgun Gothic"/>
          <w:lang w:eastAsia="en-US"/>
        </w:rPr>
      </w:pPr>
      <w:r>
        <w:rPr>
          <w:rFonts w:hint="eastAsia" w:eastAsia="宋体"/>
          <w:lang w:val="en-US" w:eastAsia="zh-CN"/>
        </w:rPr>
        <w:t>2</w:t>
      </w:r>
      <w:r>
        <w:rPr>
          <w:rFonts w:eastAsia="Malgun Gothic"/>
          <w:lang w:eastAsia="en-US"/>
        </w:rPr>
        <w:t>)</w:t>
      </w:r>
      <w:r>
        <w:rPr>
          <w:rFonts w:eastAsia="Malgun Gothic"/>
          <w:lang w:eastAsia="en-US"/>
        </w:rPr>
        <w:tab/>
      </w:r>
      <w:r>
        <w:rPr>
          <w:rFonts w:eastAsia="Malgun Gothic"/>
          <w:lang w:eastAsia="en-US"/>
        </w:rPr>
        <w:t>For</w:t>
      </w:r>
      <w:r>
        <w:rPr>
          <w:rFonts w:hint="eastAsia" w:eastAsia="宋体"/>
          <w:lang w:val="en-US" w:eastAsia="zh-CN"/>
        </w:rPr>
        <w:t xml:space="preserve"> NCR</w:t>
      </w:r>
      <w:r>
        <w:rPr>
          <w:rFonts w:eastAsia="Malgun Gothic"/>
          <w:lang w:eastAsia="en-US"/>
        </w:rPr>
        <w:t>-</w:t>
      </w:r>
      <w:r>
        <w:rPr>
          <w:rFonts w:hint="eastAsia" w:eastAsia="宋体"/>
          <w:lang w:val="en-US" w:eastAsia="zh-CN"/>
        </w:rPr>
        <w:t>MT</w:t>
      </w:r>
      <w:r>
        <w:rPr>
          <w:rFonts w:eastAsia="Malgun Gothic"/>
          <w:lang w:eastAsia="en-US"/>
        </w:rPr>
        <w:t xml:space="preserve">, set the measurement equipment parameters as specified in table </w:t>
      </w:r>
      <w:r>
        <w:rPr>
          <w:rFonts w:eastAsia="Malgun Gothic"/>
          <w:lang w:val="en-US" w:eastAsia="zh-CN"/>
        </w:rPr>
        <w:t>6</w:t>
      </w:r>
      <w:r>
        <w:rPr>
          <w:rFonts w:eastAsia="Malgun Gothic"/>
          <w:lang w:eastAsia="en-US"/>
        </w:rPr>
        <w:t>.</w:t>
      </w:r>
      <w:r>
        <w:rPr>
          <w:rFonts w:eastAsia="Malgun Gothic"/>
          <w:lang w:val="en-US" w:eastAsia="zh-CN"/>
        </w:rPr>
        <w:t>20</w:t>
      </w:r>
      <w:r>
        <w:rPr>
          <w:rFonts w:eastAsia="Malgun Gothic"/>
          <w:lang w:eastAsia="en-US"/>
        </w:rPr>
        <w:t>.5.</w:t>
      </w:r>
      <w:r>
        <w:rPr>
          <w:rFonts w:eastAsia="Malgun Gothic"/>
          <w:lang w:val="en-US" w:eastAsia="zh-CN"/>
        </w:rPr>
        <w:t>1</w:t>
      </w:r>
      <w:r>
        <w:rPr>
          <w:rFonts w:eastAsia="Malgun Gothic"/>
          <w:lang w:eastAsia="en-US"/>
        </w:rPr>
        <w:t>-1.</w:t>
      </w:r>
    </w:p>
    <w:p>
      <w:pPr>
        <w:pStyle w:val="93"/>
        <w:rPr>
          <w:rFonts w:eastAsia="Malgun Gothic"/>
          <w:lang w:eastAsia="en-US"/>
        </w:rPr>
      </w:pPr>
      <w:r>
        <w:rPr>
          <w:rFonts w:hint="eastAsia" w:eastAsia="宋体"/>
          <w:lang w:val="en-US" w:eastAsia="zh-CN"/>
        </w:rPr>
        <w:t>3</w:t>
      </w:r>
      <w:r>
        <w:rPr>
          <w:rFonts w:eastAsia="Malgun Gothic"/>
          <w:lang w:eastAsia="en-US"/>
        </w:rPr>
        <w:t>)</w:t>
      </w:r>
      <w:r>
        <w:rPr>
          <w:rFonts w:eastAsia="Malgun Gothic"/>
          <w:lang w:eastAsia="en-US"/>
        </w:rPr>
        <w:tab/>
      </w:r>
      <w:r>
        <w:rPr>
          <w:rFonts w:eastAsia="Malgun Gothic"/>
          <w:lang w:eastAsia="en-US"/>
        </w:rPr>
        <w:t xml:space="preserve">For </w:t>
      </w:r>
      <w:r>
        <w:rPr>
          <w:rFonts w:hint="eastAsia" w:eastAsia="宋体"/>
          <w:lang w:val="en-US" w:eastAsia="zh-CN"/>
        </w:rPr>
        <w:t>NCR</w:t>
      </w:r>
      <w:r>
        <w:rPr>
          <w:rFonts w:eastAsia="Malgun Gothic"/>
          <w:lang w:eastAsia="en-US"/>
        </w:rPr>
        <w:t>-</w:t>
      </w:r>
      <w:r>
        <w:rPr>
          <w:rFonts w:hint="eastAsia" w:eastAsia="宋体"/>
          <w:lang w:val="en-US" w:eastAsia="zh-CN"/>
        </w:rPr>
        <w:t>MT</w:t>
      </w:r>
      <w:r>
        <w:rPr>
          <w:rFonts w:eastAsia="Malgun Gothic"/>
          <w:lang w:eastAsia="en-US"/>
        </w:rPr>
        <w:t xml:space="preserve">, measure the spurious emissions over each frequency range described in table </w:t>
      </w:r>
      <w:r>
        <w:rPr>
          <w:rFonts w:eastAsia="Malgun Gothic"/>
          <w:lang w:val="en-US" w:eastAsia="zh-CN"/>
        </w:rPr>
        <w:t>6</w:t>
      </w:r>
      <w:r>
        <w:rPr>
          <w:rFonts w:eastAsia="Malgun Gothic"/>
          <w:lang w:eastAsia="en-US"/>
        </w:rPr>
        <w:t>.</w:t>
      </w:r>
      <w:r>
        <w:rPr>
          <w:rFonts w:eastAsia="Malgun Gothic"/>
          <w:lang w:val="en-US" w:eastAsia="zh-CN"/>
        </w:rPr>
        <w:t>20</w:t>
      </w:r>
      <w:r>
        <w:rPr>
          <w:rFonts w:eastAsia="Malgun Gothic"/>
          <w:lang w:eastAsia="en-US"/>
        </w:rPr>
        <w:t>.5.</w:t>
      </w:r>
      <w:r>
        <w:rPr>
          <w:rFonts w:eastAsia="Malgun Gothic"/>
          <w:lang w:val="en-US" w:eastAsia="zh-CN"/>
        </w:rPr>
        <w:t>1</w:t>
      </w:r>
      <w:r>
        <w:rPr>
          <w:rFonts w:eastAsia="Malgun Gothic"/>
          <w:lang w:eastAsia="en-US"/>
        </w:rPr>
        <w:t>-1.</w:t>
      </w:r>
    </w:p>
    <w:p>
      <w:pPr>
        <w:tabs>
          <w:tab w:val="left" w:pos="4253"/>
        </w:tabs>
        <w:overflowPunct/>
        <w:autoSpaceDE/>
        <w:autoSpaceDN/>
        <w:adjustRightInd/>
        <w:textAlignment w:val="auto"/>
        <w:rPr>
          <w:rFonts w:eastAsia="Malgun Gothic"/>
          <w:lang w:eastAsia="en-US"/>
        </w:rPr>
      </w:pPr>
      <w:r>
        <w:rPr>
          <w:rFonts w:eastAsia="Malgun Gothic"/>
          <w:lang w:eastAsia="en-US"/>
        </w:rPr>
        <w:t xml:space="preserve">In addition, </w:t>
      </w:r>
      <w:r>
        <w:rPr>
          <w:rFonts w:eastAsia="Malgun Gothic"/>
          <w:snapToGrid w:val="0"/>
          <w:lang w:eastAsia="en-US"/>
        </w:rPr>
        <w:t xml:space="preserve">for a </w:t>
      </w:r>
      <w:r>
        <w:rPr>
          <w:rFonts w:eastAsia="Malgun Gothic"/>
          <w:i/>
          <w:snapToGrid w:val="0"/>
          <w:lang w:eastAsia="en-US"/>
        </w:rPr>
        <w:t>multi-band</w:t>
      </w:r>
      <w:r>
        <w:rPr>
          <w:rFonts w:eastAsia="Malgun Gothic"/>
          <w:snapToGrid w:val="0"/>
          <w:lang w:eastAsia="en-US"/>
        </w:rPr>
        <w:t xml:space="preserve"> </w:t>
      </w:r>
      <w:r>
        <w:rPr>
          <w:rFonts w:eastAsia="Malgun Gothic"/>
          <w:i/>
          <w:snapToGrid w:val="0"/>
          <w:lang w:eastAsia="en-US"/>
        </w:rPr>
        <w:t>connector</w:t>
      </w:r>
      <w:r>
        <w:rPr>
          <w:rFonts w:eastAsia="Malgun Gothic"/>
          <w:lang w:eastAsia="en-US"/>
        </w:rPr>
        <w:t>, the following steps shall apply:</w:t>
      </w:r>
    </w:p>
    <w:p>
      <w:pPr>
        <w:pStyle w:val="93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>4</w:t>
      </w:r>
      <w:r>
        <w:rPr>
          <w:rFonts w:eastAsia="Malgun Gothic"/>
          <w:lang w:eastAsia="en-US"/>
        </w:rPr>
        <w:t>)</w:t>
      </w:r>
      <w:r>
        <w:rPr>
          <w:rFonts w:eastAsia="Malgun Gothic"/>
          <w:lang w:eastAsia="en-US"/>
        </w:rPr>
        <w:tab/>
      </w:r>
      <w:r>
        <w:rPr>
          <w:rFonts w:eastAsia="Malgun Gothic"/>
          <w:lang w:eastAsia="en-US"/>
        </w:rPr>
        <w:t xml:space="preserve">For </w:t>
      </w:r>
      <w:r>
        <w:rPr>
          <w:rFonts w:eastAsia="Malgun Gothic"/>
          <w:i/>
          <w:snapToGrid w:val="0"/>
          <w:lang w:eastAsia="en-US"/>
        </w:rPr>
        <w:t>multi-band</w:t>
      </w:r>
      <w:r>
        <w:rPr>
          <w:rFonts w:eastAsia="Malgun Gothic"/>
          <w:snapToGrid w:val="0"/>
          <w:lang w:eastAsia="en-US"/>
        </w:rPr>
        <w:t xml:space="preserve"> </w:t>
      </w:r>
      <w:r>
        <w:rPr>
          <w:rFonts w:eastAsia="Malgun Gothic"/>
          <w:i/>
          <w:snapToGrid w:val="0"/>
          <w:lang w:eastAsia="en-US"/>
        </w:rPr>
        <w:t>connector</w:t>
      </w:r>
      <w:r>
        <w:rPr>
          <w:rFonts w:eastAsia="Malgun Gothic"/>
          <w:snapToGrid w:val="0"/>
          <w:lang w:eastAsia="en-US"/>
        </w:rPr>
        <w:t xml:space="preserve"> </w:t>
      </w:r>
      <w:r>
        <w:rPr>
          <w:rFonts w:eastAsia="Malgun Gothic"/>
          <w:lang w:eastAsia="en-US"/>
        </w:rPr>
        <w:t>and single band tests, repeat the steps above per involved band where single band test configurations and test models shall apply with no carrier activated in the other band.</w:t>
      </w:r>
    </w:p>
    <w:p>
      <w:pPr>
        <w:tabs>
          <w:tab w:val="left" w:pos="2000"/>
        </w:tabs>
        <w:ind w:left="0" w:leftChars="0" w:firstLine="0" w:firstLineChars="0"/>
        <w:outlineLvl w:val="9"/>
        <w:rPr>
          <w:ins w:id="23" w:author="ZTE-Kun Yao" w:date="2024-08-09T16:17:58Z"/>
          <w:rFonts w:cs="Arial"/>
          <w:color w:val="FF0000"/>
          <w:highlight w:val="none"/>
        </w:rPr>
      </w:pPr>
    </w:p>
    <w:p>
      <w:pPr>
        <w:pStyle w:val="5"/>
        <w:tabs>
          <w:tab w:val="left" w:pos="2000"/>
        </w:tabs>
        <w:rPr>
          <w:ins w:id="24" w:author="ZTE-Kun Yao" w:date="2024-08-09T16:17:58Z"/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</w:t>
      </w:r>
      <w:r>
        <w:rPr>
          <w:rFonts w:cs="Arial"/>
          <w:color w:val="FF0000"/>
          <w:highlight w:val="none"/>
        </w:rPr>
        <w:t>T OF CHANGE&gt;</w:t>
      </w:r>
    </w:p>
    <w:p>
      <w:pPr>
        <w:tabs>
          <w:tab w:val="left" w:pos="2000"/>
        </w:tabs>
        <w:ind w:left="0" w:leftChars="0" w:firstLine="0" w:firstLineChars="0"/>
        <w:outlineLvl w:val="9"/>
        <w:rPr>
          <w:ins w:id="25" w:author="ZTE-Kun Yao" w:date="2024-08-09T16:17:58Z"/>
          <w:rFonts w:cs="Arial"/>
          <w:color w:val="FF0000"/>
          <w:highlight w:val="none"/>
        </w:rPr>
      </w:pPr>
    </w:p>
    <w:p>
      <w:pPr>
        <w:keepNext/>
        <w:keepLines/>
        <w:spacing w:before="120"/>
        <w:ind w:left="1701" w:hanging="1701"/>
        <w:outlineLvl w:val="4"/>
        <w:rPr>
          <w:rFonts w:ascii="Arial" w:hAnsi="Arial" w:eastAsia="等线"/>
          <w:sz w:val="22"/>
        </w:rPr>
      </w:pPr>
      <w:bookmarkStart w:id="39" w:name="_Toc98753985"/>
      <w:bookmarkStart w:id="40" w:name="_Toc89944967"/>
      <w:bookmarkStart w:id="41" w:name="_Toc124151939"/>
      <w:bookmarkStart w:id="42" w:name="_Toc124152459"/>
      <w:bookmarkStart w:id="43" w:name="_Toc138862440"/>
      <w:bookmarkStart w:id="44" w:name="_Toc82437601"/>
      <w:bookmarkStart w:id="45" w:name="_Toc76541831"/>
      <w:bookmarkStart w:id="46" w:name="_Toc106180971"/>
      <w:bookmarkStart w:id="47" w:name="_Toc75276332"/>
      <w:bookmarkStart w:id="48" w:name="_Toc137558615"/>
      <w:bookmarkStart w:id="49" w:name="_Toc75260279"/>
      <w:bookmarkStart w:id="50" w:name="_Toc73963102"/>
      <w:bookmarkStart w:id="51" w:name="_Toc130397511"/>
      <w:bookmarkStart w:id="52" w:name="_Toc75275821"/>
      <w:bookmarkStart w:id="53" w:name="_Toc130396991"/>
      <w:bookmarkStart w:id="54" w:name="_Toc124151419"/>
      <w:bookmarkStart w:id="55" w:name="_Toc114151016"/>
      <w:bookmarkStart w:id="56" w:name="_Toc145532497"/>
      <w:r>
        <w:rPr>
          <w:rFonts w:ascii="Arial" w:hAnsi="Arial" w:eastAsia="等线"/>
          <w:sz w:val="22"/>
        </w:rPr>
        <w:t>7.1.2.2.4</w:t>
      </w:r>
      <w:r>
        <w:rPr>
          <w:rFonts w:ascii="Arial" w:hAnsi="Arial" w:eastAsia="等线"/>
          <w:sz w:val="22"/>
        </w:rPr>
        <w:tab/>
      </w:r>
      <w:r>
        <w:rPr>
          <w:rFonts w:ascii="Arial" w:hAnsi="Arial" w:eastAsia="等线"/>
          <w:sz w:val="22"/>
        </w:rPr>
        <w:t>Method of test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>
      <w:pPr>
        <w:keepNext/>
        <w:keepLines/>
        <w:spacing w:before="120"/>
        <w:ind w:left="1985" w:hanging="1985"/>
        <w:rPr>
          <w:rFonts w:ascii="Arial" w:hAnsi="Arial" w:eastAsia="等线"/>
        </w:rPr>
      </w:pPr>
      <w:r>
        <w:rPr>
          <w:rFonts w:ascii="Arial" w:hAnsi="Arial" w:eastAsia="等线"/>
        </w:rPr>
        <w:t>7.1.2.2.4.1</w:t>
      </w:r>
      <w:r>
        <w:rPr>
          <w:rFonts w:ascii="Arial" w:hAnsi="Arial" w:eastAsia="等线"/>
        </w:rPr>
        <w:tab/>
      </w:r>
      <w:r>
        <w:rPr>
          <w:rFonts w:ascii="Arial" w:hAnsi="Arial" w:eastAsia="等线"/>
        </w:rPr>
        <w:t>Initial conditions</w:t>
      </w:r>
    </w:p>
    <w:p>
      <w:pPr>
        <w:rPr>
          <w:rFonts w:eastAsia="等线"/>
        </w:rPr>
      </w:pPr>
      <w:r>
        <w:rPr>
          <w:rFonts w:eastAsia="等线"/>
        </w:rPr>
        <w:t>Test environment:</w:t>
      </w:r>
      <w:r>
        <w:rPr>
          <w:rFonts w:eastAsia="等线"/>
        </w:rPr>
        <w:tab/>
      </w:r>
      <w:r>
        <w:rPr>
          <w:rFonts w:eastAsia="等线"/>
        </w:rPr>
        <w:t>Normal, see annex B.2.</w:t>
      </w:r>
    </w:p>
    <w:p>
      <w:pPr>
        <w:rPr>
          <w:rFonts w:eastAsia="等线"/>
        </w:rPr>
      </w:pPr>
      <w:r>
        <w:rPr>
          <w:rFonts w:eastAsia="等线"/>
        </w:rPr>
        <w:t>RF channels to be tested for single carrier:</w:t>
      </w:r>
      <w:r>
        <w:rPr>
          <w:rFonts w:eastAsia="等线"/>
        </w:rPr>
        <w:tab/>
      </w:r>
      <w:r>
        <w:rPr>
          <w:rFonts w:eastAsia="等线"/>
        </w:rPr>
        <w:t>M; see clause 4.9.1.</w:t>
      </w:r>
    </w:p>
    <w:p>
      <w:pPr>
        <w:rPr>
          <w:rFonts w:eastAsia="等线"/>
        </w:rPr>
      </w:pPr>
      <w:r>
        <w:rPr>
          <w:rFonts w:eastAsia="等线"/>
        </w:rPr>
        <w:t>RF channels to be tested for carrier aggregation: M</w:t>
      </w:r>
      <w:r>
        <w:rPr>
          <w:rFonts w:eastAsia="等线"/>
          <w:vertAlign w:val="subscript"/>
        </w:rPr>
        <w:t>BW Channel CA</w:t>
      </w:r>
      <w:r>
        <w:rPr>
          <w:rFonts w:eastAsia="等线"/>
        </w:rPr>
        <w:t>; see clause 4.9.1.</w:t>
      </w:r>
    </w:p>
    <w:p>
      <w:pPr>
        <w:keepNext/>
        <w:keepLines/>
        <w:spacing w:before="120"/>
        <w:ind w:left="1985" w:hanging="1985"/>
        <w:rPr>
          <w:rFonts w:ascii="Arial" w:hAnsi="Arial" w:eastAsia="等线"/>
        </w:rPr>
      </w:pPr>
      <w:r>
        <w:rPr>
          <w:rFonts w:ascii="Arial" w:hAnsi="Arial" w:eastAsia="等线"/>
        </w:rPr>
        <w:t>7.1.2.2.4.2</w:t>
      </w:r>
      <w:r>
        <w:rPr>
          <w:rFonts w:ascii="Arial" w:hAnsi="Arial" w:eastAsia="等线"/>
        </w:rPr>
        <w:tab/>
      </w:r>
      <w:r>
        <w:rPr>
          <w:rFonts w:ascii="Arial" w:hAnsi="Arial" w:eastAsia="等线"/>
        </w:rPr>
        <w:t>Procedure</w:t>
      </w:r>
    </w:p>
    <w:p>
      <w:pPr>
        <w:ind w:left="568" w:hanging="284"/>
        <w:rPr>
          <w:rFonts w:eastAsia="等线"/>
        </w:rPr>
      </w:pPr>
      <w:r>
        <w:rPr>
          <w:rFonts w:eastAsia="等线"/>
        </w:rPr>
        <w:t>1)</w:t>
      </w:r>
      <w:r>
        <w:rPr>
          <w:rFonts w:eastAsia="等线"/>
        </w:rPr>
        <w:tab/>
      </w:r>
      <w:r>
        <w:rPr>
          <w:rFonts w:eastAsia="等线"/>
        </w:rPr>
        <w:t xml:space="preserve">Connect the NCR tester generating the wanted signal, multipath fading simulators and AWGN generators to all </w:t>
      </w:r>
      <w:r>
        <w:t xml:space="preserve">NCR-MT </w:t>
      </w:r>
      <w:r>
        <w:rPr>
          <w:i/>
          <w:iCs/>
        </w:rPr>
        <w:t xml:space="preserve">TAB connectors </w:t>
      </w:r>
      <w:r>
        <w:t>or</w:t>
      </w:r>
      <w:r>
        <w:rPr>
          <w:i/>
          <w:iCs/>
        </w:rPr>
        <w:t xml:space="preserve"> antenna connectors </w:t>
      </w:r>
      <w:r>
        <w:t xml:space="preserve"> for diversity reception via a combining network as shown in annex </w:t>
      </w:r>
      <w:r>
        <w:rPr>
          <w:lang w:eastAsia="zh-CN"/>
        </w:rPr>
        <w:t>D.9 or D.11.</w:t>
      </w:r>
    </w:p>
    <w:p>
      <w:pPr>
        <w:ind w:left="568" w:hanging="284"/>
        <w:rPr>
          <w:rFonts w:eastAsia="等线"/>
        </w:rPr>
      </w:pPr>
      <w:r>
        <w:rPr>
          <w:rFonts w:eastAsia="等线"/>
        </w:rPr>
        <w:t>2)</w:t>
      </w:r>
      <w:r>
        <w:rPr>
          <w:rFonts w:eastAsia="等线"/>
        </w:rPr>
        <w:tab/>
      </w:r>
      <w:r>
        <w:rPr>
          <w:rFonts w:eastAsia="等线"/>
        </w:rPr>
        <w:t xml:space="preserve">Adjust the AWGN generator and adjust the AWGN power level to </w:t>
      </w:r>
      <w:r>
        <w:rPr>
          <w:rFonts w:ascii="Arial" w:hAnsi="Arial" w:eastAsia="等线"/>
          <w:sz w:val="18"/>
          <w:lang w:eastAsia="ja-JP"/>
        </w:rPr>
        <w:t>-77.2 dBm / 38.16MHz</w:t>
      </w:r>
      <w:r>
        <w:rPr>
          <w:rFonts w:eastAsia="等线"/>
        </w:rPr>
        <w:t>.</w:t>
      </w:r>
    </w:p>
    <w:p>
      <w:pPr>
        <w:ind w:left="568" w:hanging="284"/>
        <w:rPr>
          <w:rFonts w:eastAsia="等线"/>
        </w:rPr>
      </w:pPr>
      <w:r>
        <w:rPr>
          <w:rFonts w:eastAsia="等线"/>
        </w:rPr>
        <w:t>3)</w:t>
      </w:r>
      <w:r>
        <w:rPr>
          <w:rFonts w:eastAsia="等线"/>
        </w:rPr>
        <w:tab/>
      </w:r>
      <w:r>
        <w:rPr>
          <w:rFonts w:eastAsia="等线"/>
        </w:rPr>
        <w:t>The characteristics of the wanted signal shall be configured according to the corresponding DL reference measurement channel defined in annex F and the test parameters in table 7.1.2.2.4.2-1.</w:t>
      </w:r>
    </w:p>
    <w:p>
      <w:pPr>
        <w:keepNext/>
        <w:keepLines/>
        <w:spacing w:before="60"/>
        <w:jc w:val="center"/>
        <w:rPr>
          <w:rFonts w:ascii="Arial" w:hAnsi="Arial" w:eastAsia="等线"/>
          <w:b/>
        </w:rPr>
      </w:pPr>
      <w:r>
        <w:rPr>
          <w:rFonts w:ascii="Arial" w:hAnsi="Arial" w:eastAsia="等线"/>
          <w:b/>
        </w:rPr>
        <w:t>Table 7.1.2.2.4.2-1: Test parameters for testing PDSCH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49"/>
        <w:gridCol w:w="3286"/>
        <w:gridCol w:w="990"/>
        <w:gridCol w:w="29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35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b/>
                <w:sz w:val="18"/>
              </w:rPr>
              <w:t>Parameter</w:t>
            </w:r>
          </w:p>
        </w:tc>
        <w:tc>
          <w:tcPr>
            <w:tcW w:w="99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b/>
                <w:sz w:val="18"/>
              </w:rPr>
              <w:t>Unit</w:t>
            </w:r>
          </w:p>
        </w:tc>
        <w:tc>
          <w:tcPr>
            <w:tcW w:w="2991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b/>
                <w:sz w:val="18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35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Duplex mode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991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35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Active BWP index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991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35" w:type="dxa"/>
            <w:gridSpan w:val="2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Default TDD UL-DL pattern (Note 1)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991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7D1S2U, S=6D:4G:4U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35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PDSCH transmission scheme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991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Transmission scheme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9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  <w:lang w:eastAsia="ja-JP"/>
              </w:rPr>
            </w:pPr>
            <w:r>
              <w:rPr>
                <w:rFonts w:hint="eastAsia"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 w:eastAsia="等线"/>
                <w:sz w:val="18"/>
              </w:rPr>
              <w:t>arrier configuration</w:t>
            </w:r>
          </w:p>
        </w:tc>
        <w:tc>
          <w:tcPr>
            <w:tcW w:w="3286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  <w:lang w:eastAsia="ja-JP"/>
              </w:rPr>
            </w:pPr>
            <w:r>
              <w:rPr>
                <w:rFonts w:ascii="Arial" w:hAnsi="Arial" w:eastAsia="等线"/>
                <w:sz w:val="18"/>
              </w:rPr>
              <w:t>Offset between Point A and the lowest usable subcarrier on this carrier (Note 1)</w:t>
            </w:r>
          </w:p>
        </w:tc>
        <w:tc>
          <w:tcPr>
            <w:tcW w:w="99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RBs</w:t>
            </w:r>
          </w:p>
        </w:tc>
        <w:tc>
          <w:tcPr>
            <w:tcW w:w="2991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  <w:lang w:eastAsia="ja-JP"/>
              </w:rPr>
            </w:pPr>
          </w:p>
        </w:tc>
        <w:tc>
          <w:tcPr>
            <w:tcW w:w="3286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  <w:lang w:eastAsia="ja-JP"/>
              </w:rPr>
            </w:pPr>
            <w:r>
              <w:rPr>
                <w:rFonts w:ascii="Arial" w:hAnsi="Arial" w:eastAsia="等线"/>
                <w:sz w:val="18"/>
              </w:rPr>
              <w:t>Subcarrier spacing</w:t>
            </w:r>
          </w:p>
        </w:tc>
        <w:tc>
          <w:tcPr>
            <w:tcW w:w="99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kHz</w:t>
            </w:r>
          </w:p>
        </w:tc>
        <w:tc>
          <w:tcPr>
            <w:tcW w:w="2991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9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DL BWP configuration #1</w:t>
            </w:r>
          </w:p>
        </w:tc>
        <w:tc>
          <w:tcPr>
            <w:tcW w:w="3286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Cyclic prefix</w:t>
            </w:r>
          </w:p>
        </w:tc>
        <w:tc>
          <w:tcPr>
            <w:tcW w:w="99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RB offset</w:t>
            </w:r>
          </w:p>
        </w:tc>
        <w:tc>
          <w:tcPr>
            <w:tcW w:w="99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RBs</w:t>
            </w:r>
          </w:p>
        </w:tc>
        <w:tc>
          <w:tcPr>
            <w:tcW w:w="2991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Number of contiguous PRB</w:t>
            </w:r>
          </w:p>
        </w:tc>
        <w:tc>
          <w:tcPr>
            <w:tcW w:w="99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PRBs</w:t>
            </w:r>
          </w:p>
        </w:tc>
        <w:tc>
          <w:tcPr>
            <w:tcW w:w="2991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9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PDSCH DMRS configuration</w:t>
            </w:r>
          </w:p>
        </w:tc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Antenna ports indexes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{1000} for Rank 1 tests</w:t>
            </w:r>
            <w:r>
              <w:rPr>
                <w:rFonts w:ascii="Arial" w:hAnsi="Arial" w:eastAsia="等线"/>
                <w:sz w:val="18"/>
              </w:rPr>
              <w:br w:type="textWrapping"/>
            </w:r>
            <w:r>
              <w:rPr>
                <w:rFonts w:ascii="Arial" w:hAnsi="Arial" w:eastAsia="等线"/>
                <w:sz w:val="18"/>
              </w:rPr>
              <w:t>{1000, 1001} for Rank 2 tests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{1000-1002} for Rank 3 tests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{1000-1003} for Rank 4 tests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9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Position of the first DMRS for PDSCH mapping type A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9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Number of PDSCH DMRS CDM group(s) without data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1 for Rank 1 and Rank 2 tests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2 for Rank 3 and Rank 4 tests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9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DMRS Type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Type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9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Number of additional DMRS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9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Maximum number of OFDM symbols for DL front loaded DMRS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9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PDSCH configuration</w:t>
            </w:r>
          </w:p>
        </w:tc>
        <w:tc>
          <w:tcPr>
            <w:tcW w:w="3286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Mapping type</w:t>
            </w:r>
          </w:p>
        </w:tc>
        <w:tc>
          <w:tcPr>
            <w:tcW w:w="99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Type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k0</w:t>
            </w:r>
          </w:p>
        </w:tc>
        <w:tc>
          <w:tcPr>
            <w:tcW w:w="99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 xml:space="preserve">Starting symbol (S) </w:t>
            </w:r>
          </w:p>
        </w:tc>
        <w:tc>
          <w:tcPr>
            <w:tcW w:w="99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Length (L)</w:t>
            </w:r>
          </w:p>
        </w:tc>
        <w:tc>
          <w:tcPr>
            <w:tcW w:w="99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 xml:space="preserve">Specific to each </w:t>
            </w:r>
            <w:r>
              <w:rPr>
                <w:rFonts w:ascii="Arial" w:hAnsi="Arial" w:eastAsia="等线" w:cs="Arial"/>
                <w:sz w:val="18"/>
              </w:rPr>
              <w:t>Reference channel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PDSCH aggregation factor</w:t>
            </w:r>
          </w:p>
        </w:tc>
        <w:tc>
          <w:tcPr>
            <w:tcW w:w="99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PRB bundling type</w:t>
            </w:r>
          </w:p>
        </w:tc>
        <w:tc>
          <w:tcPr>
            <w:tcW w:w="99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Static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PRB bundling size</w:t>
            </w:r>
          </w:p>
        </w:tc>
        <w:tc>
          <w:tcPr>
            <w:tcW w:w="99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Resource allocation type</w:t>
            </w:r>
          </w:p>
        </w:tc>
        <w:tc>
          <w:tcPr>
            <w:tcW w:w="99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Type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RBG size</w:t>
            </w:r>
          </w:p>
        </w:tc>
        <w:tc>
          <w:tcPr>
            <w:tcW w:w="99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hint="eastAsia" w:ascii="Arial" w:hAnsi="Arial" w:eastAsia="等线"/>
                <w:sz w:val="18"/>
                <w:lang w:eastAsia="zh-CN"/>
              </w:rPr>
              <w:t>onfig2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  <w:lang w:eastAsia="ja-JP"/>
              </w:rPr>
              <w:t>VRB-to-PRB mapping type</w:t>
            </w:r>
          </w:p>
        </w:tc>
        <w:tc>
          <w:tcPr>
            <w:tcW w:w="99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Non-interleaved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99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35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PT</w:t>
            </w:r>
            <w:r>
              <w:rPr>
                <w:rFonts w:hint="eastAsia" w:ascii="Arial" w:hAnsi="Arial" w:eastAsia="等线"/>
                <w:sz w:val="18"/>
                <w:lang w:eastAsia="zh-CN"/>
              </w:rPr>
              <w:t>-</w:t>
            </w:r>
            <w:r>
              <w:rPr>
                <w:rFonts w:ascii="Arial" w:hAnsi="Arial" w:eastAsia="等线"/>
                <w:sz w:val="18"/>
              </w:rPr>
              <w:t>RS configuration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PT</w:t>
            </w:r>
            <w:r>
              <w:rPr>
                <w:rFonts w:hint="eastAsia" w:ascii="Arial" w:hAnsi="Arial" w:eastAsia="等线"/>
                <w:sz w:val="18"/>
                <w:lang w:eastAsia="zh-CN"/>
              </w:rPr>
              <w:t>-</w:t>
            </w:r>
            <w:r>
              <w:rPr>
                <w:rFonts w:ascii="Arial" w:hAnsi="Arial" w:eastAsia="等线"/>
                <w:sz w:val="18"/>
              </w:rPr>
              <w:t>RS is not configured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35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Maximum number of code block groups for ACK/NACK feedback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35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Maximum number of HARQ transmission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35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HARQ ACK/NACK bundling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Multiplexed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35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Redundancy version coding sequence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{0,2,3,1}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35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PDSCH &amp; PDSCH DMRS Precoding configuration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Single Panel Type I, Random precoder selection updated per slot, with equal probability of each applicable i</w:t>
            </w:r>
            <w:r>
              <w:rPr>
                <w:rFonts w:ascii="Arial" w:hAnsi="Arial" w:eastAsia="等线"/>
                <w:sz w:val="18"/>
                <w:vertAlign w:val="subscript"/>
              </w:rPr>
              <w:t>1</w:t>
            </w:r>
            <w:r>
              <w:rPr>
                <w:rFonts w:ascii="Arial" w:hAnsi="Arial" w:eastAsia="等线"/>
                <w:sz w:val="18"/>
              </w:rPr>
              <w:t>, i</w:t>
            </w:r>
            <w:r>
              <w:rPr>
                <w:rFonts w:ascii="Arial" w:hAnsi="Arial" w:eastAsia="等线"/>
                <w:sz w:val="18"/>
                <w:vertAlign w:val="subscript"/>
              </w:rPr>
              <w:t>2</w:t>
            </w:r>
            <w:r>
              <w:rPr>
                <w:rFonts w:ascii="Arial" w:hAnsi="Arial" w:eastAsia="等线"/>
                <w:sz w:val="18"/>
              </w:rPr>
              <w:t xml:space="preserve"> combination, and with PRB bundling granularity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16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caps/>
                <w:sz w:val="18"/>
              </w:rPr>
              <w:t>Note</w:t>
            </w:r>
            <w:r>
              <w:rPr>
                <w:rFonts w:ascii="Arial" w:hAnsi="Arial" w:eastAsia="等线"/>
                <w:sz w:val="18"/>
              </w:rPr>
              <w:t xml:space="preserve"> 1</w:t>
            </w:r>
            <w:r>
              <w:rPr>
                <w:rFonts w:ascii="Arial" w:hAnsi="Arial" w:eastAsia="等线"/>
                <w:sz w:val="18"/>
                <w:lang w:eastAsia="zh-CN"/>
              </w:rPr>
              <w:t>:</w:t>
            </w:r>
            <w:r>
              <w:rPr>
                <w:rFonts w:ascii="Arial" w:hAnsi="Arial" w:eastAsia="等线"/>
                <w:sz w:val="18"/>
              </w:rPr>
              <w:t xml:space="preserve"> </w:t>
            </w:r>
            <w:r>
              <w:rPr>
                <w:rFonts w:ascii="Arial" w:hAnsi="Arial" w:eastAsia="等线"/>
                <w:sz w:val="18"/>
              </w:rPr>
              <w:tab/>
            </w:r>
            <w:r>
              <w:rPr>
                <w:rFonts w:ascii="Arial" w:hAnsi="Arial" w:eastAsia="等线"/>
                <w:sz w:val="18"/>
              </w:rPr>
              <w:t>The same requirements are applicable to TDD with different UL-DL patterns.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等线"/>
                <w:b/>
              </w:rPr>
            </w:pPr>
            <w:r>
              <w:rPr>
                <w:rFonts w:ascii="Arial" w:hAnsi="Arial" w:eastAsia="等线"/>
                <w:caps/>
                <w:sz w:val="18"/>
              </w:rPr>
              <w:t>Note</w:t>
            </w:r>
            <w:r>
              <w:rPr>
                <w:rFonts w:ascii="Arial" w:hAnsi="Arial" w:eastAsia="等线"/>
                <w:sz w:val="18"/>
              </w:rPr>
              <w:t xml:space="preserve"> 2:</w:t>
            </w:r>
            <w:r>
              <w:rPr>
                <w:rFonts w:ascii="Arial" w:hAnsi="Arial" w:eastAsia="等线"/>
                <w:sz w:val="18"/>
              </w:rPr>
              <w:tab/>
            </w:r>
            <w:r>
              <w:rPr>
                <w:rFonts w:ascii="Arial" w:hAnsi="Arial" w:eastAsia="等线"/>
                <w:sz w:val="18"/>
              </w:rPr>
              <w:t>Point A coincides with minimum guard band as specified in TS 38.101-1 [</w:t>
            </w:r>
            <w:ins w:id="26" w:author="ZTE-Kun Yao" w:date="2024-08-09T16:34:57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9</w:t>
              </w:r>
            </w:ins>
            <w:del w:id="27" w:author="ZTE-Kun Yao" w:date="2024-08-09T16:34:56Z">
              <w:r>
                <w:rPr>
                  <w:rFonts w:ascii="Arial" w:hAnsi="Arial" w:eastAsia="等线"/>
                  <w:sz w:val="18"/>
                </w:rPr>
                <w:delText>2</w:delText>
              </w:r>
            </w:del>
            <w:r>
              <w:rPr>
                <w:rFonts w:ascii="Arial" w:hAnsi="Arial" w:eastAsia="等线"/>
                <w:sz w:val="18"/>
              </w:rPr>
              <w:t>] for tested channel bandwidth and subcarrier spacing.</w:t>
            </w:r>
          </w:p>
        </w:tc>
      </w:tr>
    </w:tbl>
    <w:p>
      <w:pPr>
        <w:ind w:left="568" w:hanging="284"/>
        <w:rPr>
          <w:rFonts w:eastAsia="等线"/>
        </w:rPr>
      </w:pPr>
    </w:p>
    <w:p>
      <w:pPr>
        <w:ind w:left="568" w:hanging="284"/>
        <w:rPr>
          <w:rFonts w:eastAsia="等线"/>
        </w:rPr>
      </w:pPr>
      <w:r>
        <w:rPr>
          <w:rFonts w:eastAsia="等线"/>
        </w:rPr>
        <w:t>4)</w:t>
      </w:r>
      <w:r>
        <w:rPr>
          <w:rFonts w:eastAsia="等线"/>
        </w:rPr>
        <w:tab/>
      </w:r>
      <w:r>
        <w:rPr>
          <w:rFonts w:eastAsia="等线"/>
        </w:rPr>
        <w:t>The multipath fading emulators shall be configured according to the corresponding channel model defined in annex F.</w:t>
      </w:r>
    </w:p>
    <w:p>
      <w:pPr>
        <w:ind w:left="568" w:hanging="284"/>
        <w:rPr>
          <w:rFonts w:eastAsia="等线"/>
        </w:rPr>
      </w:pPr>
      <w:r>
        <w:rPr>
          <w:rFonts w:eastAsia="等线"/>
        </w:rPr>
        <w:t>5)</w:t>
      </w:r>
      <w:r>
        <w:rPr>
          <w:rFonts w:eastAsia="等线"/>
        </w:rPr>
        <w:tab/>
      </w:r>
      <w:r>
        <w:rPr>
          <w:rFonts w:eastAsia="等线"/>
        </w:rPr>
        <w:t xml:space="preserve">Adjust the equipment so that required SNR specified in table </w:t>
      </w:r>
      <w:ins w:id="28" w:author="ZTE-Kun Yao" w:date="2024-08-09T16:19:06Z">
        <w:r>
          <w:rPr>
            <w:rFonts w:hint="eastAsia" w:eastAsia="等线"/>
            <w:lang w:val="en-US" w:eastAsia="zh-CN"/>
          </w:rPr>
          <w:t>7.</w:t>
        </w:r>
      </w:ins>
      <w:del w:id="29" w:author="ZTE-Kun Yao" w:date="2024-08-09T16:19:05Z">
        <w:r>
          <w:rPr>
            <w:rFonts w:eastAsia="等线"/>
          </w:rPr>
          <w:delText>8</w:delText>
        </w:r>
      </w:del>
      <w:r>
        <w:rPr>
          <w:rFonts w:eastAsia="等线"/>
        </w:rPr>
        <w:t xml:space="preserve">1.2.2.5.1-1 is achieved at the </w:t>
      </w:r>
      <w:ins w:id="30" w:author="ZTE-Kun Yao" w:date="2024-08-09T16:19:00Z">
        <w:r>
          <w:rPr>
            <w:rFonts w:hint="eastAsia" w:eastAsia="等线"/>
            <w:lang w:val="en-US" w:eastAsia="zh-CN"/>
          </w:rPr>
          <w:t>N</w:t>
        </w:r>
      </w:ins>
      <w:ins w:id="31" w:author="ZTE-Kun Yao" w:date="2024-08-09T16:19:01Z">
        <w:r>
          <w:rPr>
            <w:rFonts w:hint="eastAsia" w:eastAsia="等线"/>
            <w:lang w:val="en-US" w:eastAsia="zh-CN"/>
          </w:rPr>
          <w:t>CR</w:t>
        </w:r>
      </w:ins>
      <w:del w:id="32" w:author="ZTE-Kun Yao" w:date="2024-08-09T16:18:59Z">
        <w:r>
          <w:rPr>
            <w:rFonts w:eastAsia="等线"/>
          </w:rPr>
          <w:delText>IAB</w:delText>
        </w:r>
      </w:del>
      <w:r>
        <w:rPr>
          <w:rFonts w:eastAsia="等线"/>
        </w:rPr>
        <w:t>-MT input.</w:t>
      </w:r>
    </w:p>
    <w:p>
      <w:pPr>
        <w:ind w:left="568" w:hanging="284"/>
        <w:rPr>
          <w:rFonts w:eastAsia="等线"/>
        </w:rPr>
      </w:pPr>
      <w:r>
        <w:rPr>
          <w:rFonts w:eastAsia="等线"/>
        </w:rPr>
        <w:t>6)</w:t>
      </w:r>
      <w:r>
        <w:rPr>
          <w:rFonts w:eastAsia="等线"/>
        </w:rPr>
        <w:tab/>
      </w:r>
      <w:r>
        <w:rPr>
          <w:rFonts w:eastAsia="等线"/>
        </w:rPr>
        <w:t>For each of the reference channels in table 7.1.2.2.5.1-1 measure the throughput and the 1</w:t>
      </w:r>
      <w:r>
        <w:rPr>
          <w:rFonts w:eastAsia="等线"/>
          <w:vertAlign w:val="superscript"/>
        </w:rPr>
        <w:t>st</w:t>
      </w:r>
      <w:r>
        <w:rPr>
          <w:rFonts w:eastAsia="等线"/>
        </w:rPr>
        <w:t xml:space="preserve"> transmission BLER.</w:t>
      </w:r>
    </w:p>
    <w:p>
      <w:pPr>
        <w:tabs>
          <w:tab w:val="left" w:pos="2000"/>
        </w:tabs>
        <w:ind w:left="0" w:leftChars="0" w:firstLine="0" w:firstLineChars="0"/>
        <w:outlineLvl w:val="9"/>
        <w:rPr>
          <w:ins w:id="33" w:author="ZTE-Kun Yao" w:date="2024-08-09T16:24:21Z"/>
          <w:rFonts w:cs="Arial"/>
          <w:color w:val="FF0000"/>
          <w:highlight w:val="none"/>
        </w:rPr>
      </w:pPr>
    </w:p>
    <w:p>
      <w:pPr>
        <w:pStyle w:val="5"/>
        <w:tabs>
          <w:tab w:val="left" w:pos="2000"/>
        </w:tabs>
        <w:rPr>
          <w:ins w:id="34" w:author="ZTE-Kun Yao" w:date="2024-08-09T16:24:21Z"/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</w:t>
      </w:r>
      <w:r>
        <w:rPr>
          <w:rFonts w:cs="Arial"/>
          <w:color w:val="FF0000"/>
          <w:highlight w:val="none"/>
        </w:rPr>
        <w:t>T OF CHANGE&gt;</w:t>
      </w:r>
    </w:p>
    <w:p>
      <w:pPr>
        <w:pStyle w:val="6"/>
      </w:pPr>
      <w:bookmarkStart w:id="57" w:name="_Toc75165403"/>
      <w:bookmarkStart w:id="58" w:name="_Toc75508519"/>
      <w:bookmarkStart w:id="59" w:name="_Toc145532512"/>
      <w:bookmarkStart w:id="60" w:name="_Toc155318791"/>
      <w:bookmarkStart w:id="61" w:name="_Toc75816258"/>
      <w:bookmarkStart w:id="62" w:name="_Toc76541983"/>
      <w:bookmarkStart w:id="63" w:name="_Toc82429873"/>
      <w:bookmarkStart w:id="64" w:name="_Toc75334327"/>
      <w:bookmarkStart w:id="65" w:name="_Toc106178264"/>
      <w:bookmarkStart w:id="66" w:name="_Toc138862455"/>
      <w:bookmarkStart w:id="67" w:name="_Toc89940124"/>
      <w:bookmarkStart w:id="68" w:name="_Toc76541416"/>
      <w:bookmarkStart w:id="69" w:name="_Toc98754450"/>
      <w:bookmarkStart w:id="70" w:name="_Toc137558630"/>
      <w:bookmarkStart w:id="71" w:name="_Toc114148982"/>
      <w:bookmarkStart w:id="72" w:name="_Toc130393767"/>
      <w:r>
        <w:t>7.1.3.1.2</w:t>
      </w:r>
      <w:r>
        <w:tab/>
      </w:r>
      <w:r>
        <w:t>Common test parameters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Parameters specified in Table </w:t>
      </w:r>
      <w:r>
        <w:rPr>
          <w:lang w:eastAsia="zh-CN"/>
        </w:rPr>
        <w:t>7.1.3.1.2</w:t>
      </w:r>
      <w:r>
        <w:rPr>
          <w:rFonts w:hint="eastAsia"/>
          <w:lang w:eastAsia="zh-CN"/>
        </w:rPr>
        <w:t>-1 are applied f</w:t>
      </w:r>
      <w:r>
        <w:t>or all test cases in this clause</w:t>
      </w:r>
      <w:r>
        <w:rPr>
          <w:rFonts w:hint="eastAsia"/>
          <w:lang w:eastAsia="zh-CN"/>
        </w:rPr>
        <w:t xml:space="preserve"> unless otherwise stated.</w:t>
      </w: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hint="eastAsia" w:ascii="Arial" w:hAnsi="Arial"/>
          <w:b/>
          <w:lang w:eastAsia="zh-CN"/>
        </w:rPr>
        <w:t xml:space="preserve">Table </w:t>
      </w:r>
      <w:r>
        <w:rPr>
          <w:rFonts w:ascii="Arial" w:hAnsi="Arial"/>
          <w:b/>
          <w:lang w:eastAsia="zh-CN"/>
        </w:rPr>
        <w:t>7.1.3.1.2</w:t>
      </w:r>
      <w:r>
        <w:rPr>
          <w:rFonts w:hint="eastAsia" w:ascii="Arial" w:hAnsi="Arial"/>
          <w:b/>
          <w:lang w:eastAsia="zh-CN"/>
        </w:rPr>
        <w:t>-1: Test parameters for CSI test cases</w:t>
      </w:r>
    </w:p>
    <w:tbl>
      <w:tblPr>
        <w:tblStyle w:val="62"/>
        <w:tblW w:w="76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55"/>
        <w:gridCol w:w="3079"/>
        <w:gridCol w:w="1011"/>
        <w:gridCol w:w="20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04" w:type="pct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661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336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04" w:type="pct"/>
            <w:gridSpan w:val="2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PDSCH transmission scheme</w:t>
            </w:r>
          </w:p>
        </w:tc>
        <w:tc>
          <w:tcPr>
            <w:tcW w:w="661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Transmission scheme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04" w:type="pct"/>
            <w:gridSpan w:val="2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661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04" w:type="pct"/>
            <w:gridSpan w:val="2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PTRS epre-Ratio</w:t>
            </w:r>
          </w:p>
        </w:tc>
        <w:tc>
          <w:tcPr>
            <w:tcW w:w="661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1" w:type="pct"/>
            <w:vMerge w:val="restar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Actual carrier configuration</w:t>
            </w:r>
          </w:p>
        </w:tc>
        <w:tc>
          <w:tcPr>
            <w:tcW w:w="2012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Offset between Point A and the lowest usable subcarrier on this carrier (Note 3)</w:t>
            </w:r>
          </w:p>
        </w:tc>
        <w:tc>
          <w:tcPr>
            <w:tcW w:w="661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RBs</w:t>
            </w:r>
          </w:p>
        </w:tc>
        <w:tc>
          <w:tcPr>
            <w:tcW w:w="1336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1" w:type="pct"/>
            <w:vMerge w:val="continue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012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661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1336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1" w:type="pct"/>
            <w:vMerge w:val="restar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DL BWP configuration #1</w:t>
            </w:r>
          </w:p>
        </w:tc>
        <w:tc>
          <w:tcPr>
            <w:tcW w:w="2012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Cyclic prefix</w:t>
            </w:r>
          </w:p>
        </w:tc>
        <w:tc>
          <w:tcPr>
            <w:tcW w:w="661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1" w:type="pct"/>
            <w:vMerge w:val="continue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012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RB offset</w:t>
            </w:r>
          </w:p>
        </w:tc>
        <w:tc>
          <w:tcPr>
            <w:tcW w:w="661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RBs</w:t>
            </w:r>
          </w:p>
        </w:tc>
        <w:tc>
          <w:tcPr>
            <w:tcW w:w="1336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1" w:type="pct"/>
            <w:vMerge w:val="continue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012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Number of contiguous PRB</w:t>
            </w:r>
          </w:p>
        </w:tc>
        <w:tc>
          <w:tcPr>
            <w:tcW w:w="661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PRBs</w:t>
            </w:r>
          </w:p>
        </w:tc>
        <w:tc>
          <w:tcPr>
            <w:tcW w:w="1336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04" w:type="pct"/>
            <w:gridSpan w:val="2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661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pct"/>
            <w:vMerge w:val="restar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1987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661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Type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pct"/>
            <w:vMerge w:val="continue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7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661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pct"/>
            <w:vMerge w:val="continue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7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661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pct"/>
            <w:vMerge w:val="continue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7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661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pct"/>
            <w:vMerge w:val="continue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7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661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pct"/>
            <w:vMerge w:val="continue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7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661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Static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pct"/>
            <w:vMerge w:val="continue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7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661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pct"/>
            <w:vMerge w:val="continue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7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661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Type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pct"/>
            <w:vMerge w:val="continue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7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661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Non-interleaved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pct"/>
            <w:vMerge w:val="continue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7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661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pct"/>
            <w:vMerge w:val="restar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1987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DMRS Type</w:t>
            </w:r>
          </w:p>
        </w:tc>
        <w:tc>
          <w:tcPr>
            <w:tcW w:w="661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Type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pct"/>
            <w:vMerge w:val="continue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7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661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pct"/>
            <w:vMerge w:val="continue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7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661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pct"/>
            <w:vMerge w:val="continue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7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DMRS ports indexes</w:t>
            </w:r>
          </w:p>
        </w:tc>
        <w:tc>
          <w:tcPr>
            <w:tcW w:w="661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{1000} for Rank1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{1000,1001} for Rank2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{1000,1001,1002} for Rank3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{1000,1001,1002,1003} for Rank4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pct"/>
            <w:vMerge w:val="continue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7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PDSCH DMRS CDM group(s) without data</w:t>
            </w:r>
          </w:p>
        </w:tc>
        <w:tc>
          <w:tcPr>
            <w:tcW w:w="661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pct"/>
            <w:vMerge w:val="restar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PTRS configuration</w:t>
            </w:r>
          </w:p>
        </w:tc>
        <w:tc>
          <w:tcPr>
            <w:tcW w:w="1987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Frequency density (</w:t>
            </w:r>
            <w:r>
              <w:rPr>
                <w:rFonts w:ascii="Arial" w:hAnsi="Arial"/>
                <w:i/>
                <w:sz w:val="18"/>
              </w:rPr>
              <w:t>K</w:t>
            </w:r>
            <w:r>
              <w:rPr>
                <w:rFonts w:ascii="Arial" w:hAnsi="Arial"/>
                <w:i/>
                <w:sz w:val="18"/>
                <w:vertAlign w:val="subscript"/>
              </w:rPr>
              <w:t>PT-RS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661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pct"/>
            <w:vMerge w:val="continue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7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 density (</w:t>
            </w:r>
            <w:r>
              <w:rPr>
                <w:rFonts w:ascii="Arial" w:hAnsi="Arial"/>
                <w:i/>
                <w:sz w:val="18"/>
              </w:rPr>
              <w:t>L</w:t>
            </w:r>
            <w:r>
              <w:rPr>
                <w:rFonts w:ascii="Arial" w:hAnsi="Arial"/>
                <w:i/>
                <w:sz w:val="18"/>
                <w:vertAlign w:val="subscript"/>
              </w:rPr>
              <w:t>PT-RS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661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pct"/>
            <w:vMerge w:val="continue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7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Resource Element Offset</w:t>
            </w:r>
          </w:p>
        </w:tc>
        <w:tc>
          <w:tcPr>
            <w:tcW w:w="661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1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Frequency Occupation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Start PRB 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Calibri"/>
                <w:sz w:val="18"/>
              </w:rPr>
              <w:t>Number of PRB = BWP size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04" w:type="pct"/>
            <w:gridSpan w:val="2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Redundancy version coding sequence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{0,2,3,1}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caps/>
                <w:sz w:val="18"/>
                <w:lang w:eastAsia="zh-CN"/>
              </w:rPr>
              <w:t>Note</w:t>
            </w:r>
            <w:r>
              <w:rPr>
                <w:rFonts w:ascii="Arial" w:hAnsi="Arial"/>
                <w:sz w:val="18"/>
                <w:lang w:eastAsia="zh-CN"/>
              </w:rPr>
              <w:t xml:space="preserve"> 1: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PDSCH is not scheduled on slots containing CSI-RS or slots which are not full DL.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2: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Point A coincides with minimum guard band as specified in Table 5.3.3-1 from TS 38.101-1 [</w:t>
            </w:r>
            <w:del w:id="35" w:author="ZTE-Kun Yao" w:date="2024-08-09T16:35:10Z">
              <w:r>
                <w:rPr>
                  <w:rFonts w:ascii="Arial" w:hAnsi="Arial"/>
                  <w:sz w:val="18"/>
                  <w:lang w:eastAsia="zh-CN"/>
                </w:rPr>
                <w:delText>2</w:delText>
              </w:r>
            </w:del>
            <w:ins w:id="36" w:author="ZTE-Kun Yao" w:date="2024-08-09T16:35:12Z">
              <w:r>
                <w:rPr>
                  <w:rFonts w:hint="eastAsia" w:ascii="Arial" w:hAnsi="Arial"/>
                  <w:sz w:val="18"/>
                  <w:lang w:val="en-US" w:eastAsia="zh-CN"/>
                </w:rPr>
                <w:t>9</w:t>
              </w:r>
            </w:ins>
            <w:del w:id="37" w:author="ZTE-Kun Yao" w:date="2024-08-09T16:35:11Z">
              <w:r>
                <w:rPr>
                  <w:rFonts w:ascii="Arial" w:hAnsi="Arial"/>
                  <w:sz w:val="18"/>
                  <w:lang w:eastAsia="zh-CN"/>
                </w:rPr>
                <w:delText>2</w:delText>
              </w:r>
            </w:del>
            <w:r>
              <w:rPr>
                <w:rFonts w:ascii="Arial" w:hAnsi="Arial"/>
                <w:sz w:val="18"/>
                <w:lang w:eastAsia="zh-CN"/>
              </w:rPr>
              <w:t>] for tested channel bandwidth and subcarrier spacing.</w:t>
            </w:r>
          </w:p>
        </w:tc>
      </w:tr>
    </w:tbl>
    <w:p>
      <w:pPr>
        <w:tabs>
          <w:tab w:val="left" w:pos="2000"/>
        </w:tabs>
        <w:ind w:left="0" w:leftChars="0" w:firstLine="0" w:firstLineChars="0"/>
        <w:outlineLvl w:val="9"/>
        <w:rPr>
          <w:rFonts w:cs="Arial"/>
          <w:color w:val="FF0000"/>
          <w:highlight w:val="none"/>
        </w:rPr>
      </w:pPr>
    </w:p>
    <w:p>
      <w:pPr>
        <w:tabs>
          <w:tab w:val="left" w:pos="2000"/>
        </w:tabs>
        <w:ind w:left="0" w:leftChars="0" w:firstLine="0" w:firstLineChars="0"/>
        <w:outlineLvl w:val="9"/>
        <w:rPr>
          <w:rFonts w:cs="Arial"/>
          <w:color w:val="FF0000"/>
          <w:highlight w:val="none"/>
        </w:rPr>
      </w:pPr>
    </w:p>
    <w:p>
      <w:pPr>
        <w:pStyle w:val="5"/>
        <w:tabs>
          <w:tab w:val="left" w:pos="2000"/>
        </w:tabs>
        <w:ind w:left="0" w:leftChars="0" w:firstLine="0" w:firstLineChars="0"/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/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KUN">
    <w15:presenceInfo w15:providerId="None" w15:userId="ZTE-KUN"/>
  </w15:person>
  <w15:person w15:author="ZTE-Kun Yao">
    <w15:presenceInfo w15:providerId="None" w15:userId="ZTE-Kun Y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2AB1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736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BE27E5"/>
    <w:rsid w:val="01CE0A3F"/>
    <w:rsid w:val="023B127B"/>
    <w:rsid w:val="02841BA1"/>
    <w:rsid w:val="02D2242F"/>
    <w:rsid w:val="032C7F8B"/>
    <w:rsid w:val="03355EA0"/>
    <w:rsid w:val="043E46A5"/>
    <w:rsid w:val="048227DA"/>
    <w:rsid w:val="051E6CF6"/>
    <w:rsid w:val="05A349A3"/>
    <w:rsid w:val="05E16F80"/>
    <w:rsid w:val="060818E9"/>
    <w:rsid w:val="06937D6A"/>
    <w:rsid w:val="06BB464A"/>
    <w:rsid w:val="0745434B"/>
    <w:rsid w:val="07B834C1"/>
    <w:rsid w:val="07C1319B"/>
    <w:rsid w:val="07DA78D8"/>
    <w:rsid w:val="0882164E"/>
    <w:rsid w:val="08F020DD"/>
    <w:rsid w:val="09BC6835"/>
    <w:rsid w:val="0A370A52"/>
    <w:rsid w:val="0A616013"/>
    <w:rsid w:val="0ABD092B"/>
    <w:rsid w:val="0B89672A"/>
    <w:rsid w:val="0BF90090"/>
    <w:rsid w:val="0C1C4667"/>
    <w:rsid w:val="0C8C1A30"/>
    <w:rsid w:val="0D4C606A"/>
    <w:rsid w:val="0DD67A44"/>
    <w:rsid w:val="0DEA7EF4"/>
    <w:rsid w:val="0DF12CDE"/>
    <w:rsid w:val="0E285928"/>
    <w:rsid w:val="0E5E239A"/>
    <w:rsid w:val="0EBA0DA3"/>
    <w:rsid w:val="0F15052D"/>
    <w:rsid w:val="102A4C15"/>
    <w:rsid w:val="103601FC"/>
    <w:rsid w:val="107D324D"/>
    <w:rsid w:val="107F5909"/>
    <w:rsid w:val="108D51DB"/>
    <w:rsid w:val="10D67B96"/>
    <w:rsid w:val="1275558A"/>
    <w:rsid w:val="13001721"/>
    <w:rsid w:val="139F334D"/>
    <w:rsid w:val="14070365"/>
    <w:rsid w:val="144E11BF"/>
    <w:rsid w:val="14731EE2"/>
    <w:rsid w:val="148E07E4"/>
    <w:rsid w:val="14D43037"/>
    <w:rsid w:val="14FD5153"/>
    <w:rsid w:val="15982FDB"/>
    <w:rsid w:val="16373386"/>
    <w:rsid w:val="170F7634"/>
    <w:rsid w:val="17483905"/>
    <w:rsid w:val="176164E9"/>
    <w:rsid w:val="17960565"/>
    <w:rsid w:val="1876043F"/>
    <w:rsid w:val="18B5241B"/>
    <w:rsid w:val="194F2BDB"/>
    <w:rsid w:val="197F27A9"/>
    <w:rsid w:val="1AA23498"/>
    <w:rsid w:val="1B4F70DB"/>
    <w:rsid w:val="1B566A66"/>
    <w:rsid w:val="1BDB664A"/>
    <w:rsid w:val="1D9E517A"/>
    <w:rsid w:val="1DF63163"/>
    <w:rsid w:val="1EBA5FC9"/>
    <w:rsid w:val="1F137ADB"/>
    <w:rsid w:val="1F1B60A5"/>
    <w:rsid w:val="21690C01"/>
    <w:rsid w:val="21A35B30"/>
    <w:rsid w:val="21CD282F"/>
    <w:rsid w:val="21EF12D1"/>
    <w:rsid w:val="22394E26"/>
    <w:rsid w:val="22657554"/>
    <w:rsid w:val="227D5EB4"/>
    <w:rsid w:val="22855ABA"/>
    <w:rsid w:val="229F396A"/>
    <w:rsid w:val="23536501"/>
    <w:rsid w:val="23FF7CB4"/>
    <w:rsid w:val="2434039E"/>
    <w:rsid w:val="24794EE7"/>
    <w:rsid w:val="24CA09D6"/>
    <w:rsid w:val="24F95938"/>
    <w:rsid w:val="251875C6"/>
    <w:rsid w:val="25386D4D"/>
    <w:rsid w:val="253C3285"/>
    <w:rsid w:val="25F6661D"/>
    <w:rsid w:val="25FC3A79"/>
    <w:rsid w:val="2646479D"/>
    <w:rsid w:val="2647224B"/>
    <w:rsid w:val="265461CB"/>
    <w:rsid w:val="27600541"/>
    <w:rsid w:val="27AB4EA2"/>
    <w:rsid w:val="280D52B9"/>
    <w:rsid w:val="2825114D"/>
    <w:rsid w:val="285A2894"/>
    <w:rsid w:val="28EE2036"/>
    <w:rsid w:val="298511A6"/>
    <w:rsid w:val="299C2540"/>
    <w:rsid w:val="29D365E8"/>
    <w:rsid w:val="29FE60C6"/>
    <w:rsid w:val="2A200C53"/>
    <w:rsid w:val="2ABE511F"/>
    <w:rsid w:val="2AD1447F"/>
    <w:rsid w:val="2B9E356D"/>
    <w:rsid w:val="2BD602F6"/>
    <w:rsid w:val="2BFA4715"/>
    <w:rsid w:val="2C1378A0"/>
    <w:rsid w:val="2C47037B"/>
    <w:rsid w:val="2CA37B5E"/>
    <w:rsid w:val="2CA7091D"/>
    <w:rsid w:val="2CDC4D41"/>
    <w:rsid w:val="2CF23912"/>
    <w:rsid w:val="2D6E220C"/>
    <w:rsid w:val="2E1F374A"/>
    <w:rsid w:val="2E697834"/>
    <w:rsid w:val="2EC25694"/>
    <w:rsid w:val="2F040943"/>
    <w:rsid w:val="2F0C760C"/>
    <w:rsid w:val="2F623254"/>
    <w:rsid w:val="2FB12AD1"/>
    <w:rsid w:val="303F09F5"/>
    <w:rsid w:val="307760DF"/>
    <w:rsid w:val="31016B8A"/>
    <w:rsid w:val="31AD4AD2"/>
    <w:rsid w:val="32022F60"/>
    <w:rsid w:val="324847C4"/>
    <w:rsid w:val="328A6F63"/>
    <w:rsid w:val="331A6AA7"/>
    <w:rsid w:val="33A7400E"/>
    <w:rsid w:val="3435504F"/>
    <w:rsid w:val="34BA1748"/>
    <w:rsid w:val="35930BAC"/>
    <w:rsid w:val="37020C27"/>
    <w:rsid w:val="377F7C7D"/>
    <w:rsid w:val="38471ABA"/>
    <w:rsid w:val="3867488A"/>
    <w:rsid w:val="3A913EFC"/>
    <w:rsid w:val="3A9336E2"/>
    <w:rsid w:val="3AAF5655"/>
    <w:rsid w:val="3B7D6D44"/>
    <w:rsid w:val="3BBD1529"/>
    <w:rsid w:val="3C696750"/>
    <w:rsid w:val="3C993719"/>
    <w:rsid w:val="3CC909B0"/>
    <w:rsid w:val="3CD235C9"/>
    <w:rsid w:val="3F484C92"/>
    <w:rsid w:val="3FA35728"/>
    <w:rsid w:val="3FD236F0"/>
    <w:rsid w:val="3FE354E6"/>
    <w:rsid w:val="40AB17CA"/>
    <w:rsid w:val="41320608"/>
    <w:rsid w:val="41642659"/>
    <w:rsid w:val="41BF0B5E"/>
    <w:rsid w:val="421B0EFE"/>
    <w:rsid w:val="42446DF5"/>
    <w:rsid w:val="42747C37"/>
    <w:rsid w:val="42986F60"/>
    <w:rsid w:val="430D7B82"/>
    <w:rsid w:val="438D2DA5"/>
    <w:rsid w:val="43C04A29"/>
    <w:rsid w:val="44111E34"/>
    <w:rsid w:val="441A6544"/>
    <w:rsid w:val="44317188"/>
    <w:rsid w:val="44E16DD1"/>
    <w:rsid w:val="44FD53E4"/>
    <w:rsid w:val="45310626"/>
    <w:rsid w:val="45641926"/>
    <w:rsid w:val="480F06C5"/>
    <w:rsid w:val="488C5998"/>
    <w:rsid w:val="4A515369"/>
    <w:rsid w:val="4A830DC5"/>
    <w:rsid w:val="4ADE1283"/>
    <w:rsid w:val="4BDE36BA"/>
    <w:rsid w:val="4BDF5E5B"/>
    <w:rsid w:val="4C75187A"/>
    <w:rsid w:val="4C7973C3"/>
    <w:rsid w:val="4C811D9B"/>
    <w:rsid w:val="4CA32E3A"/>
    <w:rsid w:val="4D4F1908"/>
    <w:rsid w:val="4DB605A5"/>
    <w:rsid w:val="4E200D2A"/>
    <w:rsid w:val="4E766DAB"/>
    <w:rsid w:val="4EAD306D"/>
    <w:rsid w:val="4F1E4CA9"/>
    <w:rsid w:val="5139664E"/>
    <w:rsid w:val="51CE44FE"/>
    <w:rsid w:val="51EA5D53"/>
    <w:rsid w:val="525376D2"/>
    <w:rsid w:val="52CA5402"/>
    <w:rsid w:val="52F8537C"/>
    <w:rsid w:val="534B59FD"/>
    <w:rsid w:val="53A34B22"/>
    <w:rsid w:val="54074A92"/>
    <w:rsid w:val="54077B5B"/>
    <w:rsid w:val="55E9690F"/>
    <w:rsid w:val="5617160B"/>
    <w:rsid w:val="5714297F"/>
    <w:rsid w:val="5726693E"/>
    <w:rsid w:val="57BB39A9"/>
    <w:rsid w:val="58A60278"/>
    <w:rsid w:val="58EC1AAD"/>
    <w:rsid w:val="593C017D"/>
    <w:rsid w:val="59536E7B"/>
    <w:rsid w:val="59841E47"/>
    <w:rsid w:val="59B5180E"/>
    <w:rsid w:val="59E97534"/>
    <w:rsid w:val="5A77195C"/>
    <w:rsid w:val="5BFE6C1A"/>
    <w:rsid w:val="5C5875AC"/>
    <w:rsid w:val="5C915C7F"/>
    <w:rsid w:val="5D414CF5"/>
    <w:rsid w:val="5F4F1CBF"/>
    <w:rsid w:val="5F895A67"/>
    <w:rsid w:val="5FD77E3F"/>
    <w:rsid w:val="60390B13"/>
    <w:rsid w:val="60BF2C01"/>
    <w:rsid w:val="62DA5CD4"/>
    <w:rsid w:val="633F296E"/>
    <w:rsid w:val="636C0E97"/>
    <w:rsid w:val="639F6338"/>
    <w:rsid w:val="64326C6C"/>
    <w:rsid w:val="650F6A0F"/>
    <w:rsid w:val="65EB0027"/>
    <w:rsid w:val="662D26DE"/>
    <w:rsid w:val="666D3654"/>
    <w:rsid w:val="6675106B"/>
    <w:rsid w:val="66906931"/>
    <w:rsid w:val="67CF6160"/>
    <w:rsid w:val="682422EC"/>
    <w:rsid w:val="685236FE"/>
    <w:rsid w:val="68531C4E"/>
    <w:rsid w:val="68D050A9"/>
    <w:rsid w:val="68E91B56"/>
    <w:rsid w:val="690000FD"/>
    <w:rsid w:val="697859B8"/>
    <w:rsid w:val="69BF6937"/>
    <w:rsid w:val="69F05E6F"/>
    <w:rsid w:val="6A9042E2"/>
    <w:rsid w:val="6A921275"/>
    <w:rsid w:val="6B0E1227"/>
    <w:rsid w:val="6B7E74BE"/>
    <w:rsid w:val="6C571B18"/>
    <w:rsid w:val="6C7750AF"/>
    <w:rsid w:val="6D3467E5"/>
    <w:rsid w:val="6D79645D"/>
    <w:rsid w:val="6DC857F7"/>
    <w:rsid w:val="6DE85A38"/>
    <w:rsid w:val="6E2C1BBE"/>
    <w:rsid w:val="6F176169"/>
    <w:rsid w:val="6F1A4757"/>
    <w:rsid w:val="6F4708B3"/>
    <w:rsid w:val="6FB24AEE"/>
    <w:rsid w:val="701560A3"/>
    <w:rsid w:val="70301F26"/>
    <w:rsid w:val="704910A2"/>
    <w:rsid w:val="70B93B01"/>
    <w:rsid w:val="70C45ACF"/>
    <w:rsid w:val="71D50501"/>
    <w:rsid w:val="725814B1"/>
    <w:rsid w:val="73596BF6"/>
    <w:rsid w:val="73E47BB2"/>
    <w:rsid w:val="744F62E1"/>
    <w:rsid w:val="751C5160"/>
    <w:rsid w:val="754D5BD5"/>
    <w:rsid w:val="756070CB"/>
    <w:rsid w:val="75F21E91"/>
    <w:rsid w:val="76174637"/>
    <w:rsid w:val="762307A7"/>
    <w:rsid w:val="766440CB"/>
    <w:rsid w:val="76935296"/>
    <w:rsid w:val="771E3790"/>
    <w:rsid w:val="771F15C1"/>
    <w:rsid w:val="77804B1B"/>
    <w:rsid w:val="77A002F1"/>
    <w:rsid w:val="77B647AF"/>
    <w:rsid w:val="78767B5D"/>
    <w:rsid w:val="78E614B1"/>
    <w:rsid w:val="79652BD2"/>
    <w:rsid w:val="79712570"/>
    <w:rsid w:val="79BD5113"/>
    <w:rsid w:val="7A0309C8"/>
    <w:rsid w:val="7A1A06CD"/>
    <w:rsid w:val="7A1B50AA"/>
    <w:rsid w:val="7A4826DF"/>
    <w:rsid w:val="7A504C7C"/>
    <w:rsid w:val="7AA047D3"/>
    <w:rsid w:val="7AA120D2"/>
    <w:rsid w:val="7AE9528E"/>
    <w:rsid w:val="7AF4439C"/>
    <w:rsid w:val="7B27157D"/>
    <w:rsid w:val="7B530C6B"/>
    <w:rsid w:val="7BD55743"/>
    <w:rsid w:val="7BE7271E"/>
    <w:rsid w:val="7C0C4D1D"/>
    <w:rsid w:val="7C1F2FC3"/>
    <w:rsid w:val="7C3D0C61"/>
    <w:rsid w:val="7CB1123C"/>
    <w:rsid w:val="7CE243B7"/>
    <w:rsid w:val="7CE519F0"/>
    <w:rsid w:val="7D244CA4"/>
    <w:rsid w:val="7D7B196D"/>
    <w:rsid w:val="7DBD591F"/>
    <w:rsid w:val="7DEC1E3D"/>
    <w:rsid w:val="7F6D0CE9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1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4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3"/>
    <w:link w:val="128"/>
    <w:qFormat/>
    <w:uiPriority w:val="0"/>
    <w:pPr>
      <w:ind w:left="851" w:hanging="284"/>
    </w:pPr>
  </w:style>
  <w:style w:type="paragraph" w:customStyle="1" w:styleId="105">
    <w:name w:val="B3"/>
    <w:basedOn w:val="12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358</Pages>
  <Words>117827</Words>
  <Characters>671614</Characters>
  <Lines>5596</Lines>
  <Paragraphs>1575</Paragraphs>
  <TotalTime>5</TotalTime>
  <ScaleCrop>false</ScaleCrop>
  <LinksUpToDate>false</LinksUpToDate>
  <CharactersWithSpaces>787866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ZTE-KUN</cp:lastModifiedBy>
  <cp:lastPrinted>2019-02-25T13:05:00Z</cp:lastPrinted>
  <dcterms:modified xsi:type="dcterms:W3CDTF">2024-08-22T09:41:54Z</dcterms:modified>
  <dc:subject>&lt;Title 1; Title 2&gt; (Release 14 | 13 |12)</dc:subject>
  <dc:title>3GPP TS ab.cde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2052-11.8.2.10393</vt:lpwstr>
  </property>
  <property fmtid="{D5CDD505-2E9C-101B-9397-08002B2CF9AE}" pid="11" name="ICV">
    <vt:lpwstr>BB94BF5F19824D05B7D285B10B572FAB</vt:lpwstr>
  </property>
</Properties>
</file>